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民族宗教工作及培训专项经费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新疆维吾尔自治区民族事务委员会（宗教事务局）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新疆维吾尔自治区民族事务委员会（宗教事务局）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牙合甫·排都拉</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2023年04月17日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baseline"/>
        <w:outlineLvl w:val="9"/>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1.项目背景。新疆维吾尔自治区民族事务委员会（宗教事务局）2018年度机构改革后，根据《自治区党委办公厅 自治区人民政府办公厅关于调整新疆维吾尔自治区民族事务委员会职责机构编制的通知》（新党厅字〔2018〕148号），主要职责保持不变。2022年</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在自治区党委、人民政府的坚强领导下，深入学习习近平新时代中国特色社会主义思想和党的十九大和十九届历次全会精神，第三次中央新疆工作座谈会精神特别是新时代党的治疆方略，聚焦总目标、服务总目标，进一步增强“四个意识”，坚定“四个自信”，做到“两个维护”，进一步开创我区民族团结、宗教和谐新局面。</w:t>
      </w:r>
      <w:r>
        <w:rPr>
          <w:rStyle w:val="19"/>
          <w:rFonts w:hint="eastAsia" w:ascii="楷体" w:hAnsi="楷体" w:eastAsia="楷体"/>
          <w:spacing w:val="-4"/>
          <w:sz w:val="32"/>
          <w:szCs w:val="32"/>
          <w:lang w:val="en-US" w:eastAsia="zh-CN"/>
        </w:rPr>
        <w:t>为此，自治区财政拨付民族宗教工作及培训专项经费。</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2.主要内容及实施情况。根据2022年项目预算</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项目主要用于：一是全面贯彻党的民族理论和民族政策，以铸牢中华民族共同体意识为主线，持续加强中华民族共同体意识宣传教育，做好“民族团结一家亲”和民族团结进步创建指导工作。二是全面贯彻落实党的宗教工作方针，坚持新疆伊斯兰教中国化方向，依法加强宗教事务管理，引导宗教与社会主义社会向适应。配合国家民委、国家宗教局和其他相关部门，做好民族宗教方面的考察和调研，宣传自治区在贯彻落实党和国家民族宗教政策、法律法规方面所取得的巨大成就，促进自治区民族团结、宗教和谐。三是加强爱国宗教人士队伍建设。以民族宗教系统干部、宗教教职人员的培养培训为重点，认真开展全区民族宗教系统干部培训，藏传佛教、天主教、道教等其他教职人员培训以及清真寺民管组织人员培训工作。通过培训学习，不断提升我区宗教界人士整体素质。</w:t>
      </w:r>
      <w:r>
        <w:rPr>
          <w:rStyle w:val="19"/>
          <w:rFonts w:hint="eastAsia" w:ascii="楷体" w:hAnsi="楷体" w:eastAsia="楷体"/>
          <w:spacing w:val="-4"/>
          <w:sz w:val="32"/>
          <w:szCs w:val="32"/>
          <w:lang w:eastAsia="zh-CN"/>
        </w:rPr>
        <w:t>四</w:t>
      </w:r>
      <w:r>
        <w:rPr>
          <w:rStyle w:val="19"/>
          <w:rFonts w:hint="eastAsia" w:ascii="楷体" w:hAnsi="楷体" w:eastAsia="楷体"/>
          <w:spacing w:val="-4"/>
          <w:sz w:val="32"/>
          <w:szCs w:val="32"/>
        </w:rPr>
        <w:t>是</w:t>
      </w:r>
      <w:r>
        <w:rPr>
          <w:rStyle w:val="19"/>
          <w:rFonts w:hint="eastAsia" w:ascii="楷体" w:hAnsi="楷体" w:eastAsia="楷体"/>
          <w:spacing w:val="-4"/>
          <w:sz w:val="32"/>
          <w:szCs w:val="32"/>
          <w:lang w:val="en-US" w:eastAsia="zh-CN"/>
        </w:rPr>
        <w:t>我区清真食品管理、宣传、调研指导及督查工作。</w:t>
      </w:r>
      <w:r>
        <w:rPr>
          <w:rStyle w:val="19"/>
          <w:rFonts w:hint="eastAsia" w:ascii="楷体" w:hAnsi="楷体" w:eastAsia="楷体"/>
          <w:spacing w:val="-4"/>
          <w:sz w:val="32"/>
          <w:szCs w:val="32"/>
        </w:rPr>
        <w:t>民族团结进步模范代表赴内地参观考察</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皮山县包联村宗教人士赴乌学习门户网站网络运行安全维护等支出。</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baseline"/>
        <w:outlineLvl w:val="9"/>
        <w:rPr>
          <w:rStyle w:val="19"/>
          <w:rFonts w:hint="eastAsia" w:ascii="楷体" w:hAnsi="楷体" w:eastAsia="楷体"/>
          <w:spacing w:val="-4"/>
          <w:sz w:val="32"/>
          <w:szCs w:val="32"/>
          <w:lang w:val="en-US" w:eastAsia="zh-CN"/>
        </w:rPr>
      </w:pPr>
      <w:r>
        <w:rPr>
          <w:rStyle w:val="19"/>
          <w:rFonts w:hint="eastAsia" w:ascii="楷体" w:hAnsi="楷体" w:eastAsia="楷体"/>
          <w:spacing w:val="-4"/>
          <w:sz w:val="32"/>
          <w:szCs w:val="32"/>
        </w:rPr>
        <w:t>3.项目实施情况及资金投入和使用情况。根据2022年项目预算项目经费预算500万元，截至12月31日预算资金执行201.63万元，预算执行率40.3%。专项资金实际使用情况如下：</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rPr>
        <w:t>民族宗教工作经费201.16万元，主要用于要用于：一是年度贯彻执行党和国家及自治区党委、政府关于民族宗教工作的方针、政策和法律、法规、规章，组织开展民族宗教问题和民族地区经济社会发展方面问题的调查研究工作；</w:t>
      </w:r>
      <w:r>
        <w:rPr>
          <w:rStyle w:val="19"/>
          <w:rFonts w:hint="eastAsia" w:ascii="楷体" w:hAnsi="楷体" w:eastAsia="楷体"/>
          <w:spacing w:val="-4"/>
          <w:sz w:val="32"/>
          <w:szCs w:val="32"/>
          <w:lang w:eastAsia="zh-CN"/>
        </w:rPr>
        <w:t>二是</w:t>
      </w:r>
      <w:r>
        <w:rPr>
          <w:rStyle w:val="19"/>
          <w:rFonts w:hint="eastAsia" w:ascii="楷体" w:hAnsi="楷体" w:eastAsia="楷体"/>
          <w:spacing w:val="-4"/>
          <w:sz w:val="32"/>
          <w:szCs w:val="32"/>
        </w:rPr>
        <w:t>全面贯彻落实党的宗教工作基本方针，坚持我国宗教中国化方向，依法治理宗教事务，积极引导宗教与社会主义社会相适应。</w:t>
      </w:r>
      <w:r>
        <w:rPr>
          <w:rStyle w:val="19"/>
          <w:rFonts w:hint="eastAsia" w:ascii="楷体" w:hAnsi="楷体" w:eastAsia="楷体"/>
          <w:spacing w:val="-4"/>
          <w:sz w:val="32"/>
          <w:szCs w:val="32"/>
          <w:lang w:eastAsia="zh-CN"/>
        </w:rPr>
        <w:t>三是完成</w:t>
      </w:r>
      <w:r>
        <w:rPr>
          <w:rStyle w:val="19"/>
          <w:rFonts w:hint="eastAsia" w:ascii="楷体" w:hAnsi="楷体" w:eastAsia="楷体"/>
          <w:spacing w:val="-4"/>
          <w:sz w:val="32"/>
          <w:szCs w:val="32"/>
          <w:lang w:val="en-US" w:eastAsia="zh-CN"/>
        </w:rPr>
        <w:t>我区清真食品管理、宣传、调研指导</w:t>
      </w:r>
      <w:r>
        <w:rPr>
          <w:rStyle w:val="19"/>
          <w:rFonts w:hint="eastAsia" w:ascii="楷体" w:hAnsi="楷体" w:eastAsia="楷体"/>
          <w:spacing w:val="-4"/>
          <w:sz w:val="32"/>
          <w:szCs w:val="32"/>
          <w:lang w:val="en-US" w:eastAsia="zh-CN"/>
        </w:rPr>
        <w:t>及督查工作。</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baseline"/>
        <w:outlineLvl w:val="9"/>
        <w:rPr>
          <w:rStyle w:val="19"/>
          <w:rFonts w:hint="eastAsia" w:ascii="楷体" w:hAnsi="楷体" w:eastAsia="楷体"/>
          <w:spacing w:val="-4"/>
          <w:sz w:val="32"/>
          <w:szCs w:val="32"/>
          <w:lang w:val="en-US" w:eastAsia="zh-CN"/>
        </w:rPr>
      </w:pPr>
      <w:r>
        <w:rPr>
          <w:rStyle w:val="19"/>
          <w:rFonts w:hint="eastAsia" w:ascii="楷体" w:hAnsi="楷体" w:eastAsia="楷体"/>
          <w:spacing w:val="-4"/>
          <w:sz w:val="32"/>
          <w:szCs w:val="32"/>
        </w:rPr>
        <w:t>因上述工作具有临时性和特定时间性，需按照自治区党委、自治区人民政府及自治区党委统战部工作安排执行。受疫情影响，全区民族宗教系统干部培训，藏传佛教、天主教、道教等其他教职人员培训以及清真寺民管干部培训班，民族团结进步模范代表赴内地参观考察及皮山县包联村宗教人士赴乌学习未按期开展。导致当年项目绩效完成较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pPr>
        <w:spacing w:line="540" w:lineRule="exact"/>
        <w:ind w:firstLine="567"/>
        <w:rPr>
          <w:rStyle w:val="19"/>
          <w:rFonts w:hint="eastAsia" w:ascii="楷体" w:hAnsi="楷体" w:eastAsia="楷体"/>
          <w:spacing w:val="-4"/>
          <w:sz w:val="32"/>
          <w:szCs w:val="32"/>
          <w:lang w:eastAsia="zh-CN"/>
        </w:rPr>
      </w:pPr>
      <w:r>
        <w:rPr>
          <w:rStyle w:val="19"/>
          <w:rFonts w:hint="eastAsia" w:ascii="楷体" w:hAnsi="楷体" w:eastAsia="楷体"/>
          <w:spacing w:val="-4"/>
          <w:sz w:val="32"/>
          <w:szCs w:val="32"/>
        </w:rPr>
        <w:t>总体目标：坚持以习近平新时代中国特色社会主义思想为指导，深入贯彻落实习近平总书记关于民族工作、宗教工作、新疆工作的重要论述，完整准确贯彻新时代党的治疆方略，牢牢扭住社会稳定和长治久安总目标，全面贯彻执行党的民族政策，依法治理民族事务，以铸牢中华民族共同体意识为主线，加强中华民族共同体意识，广泛深入开展民族团结进步创建工作，创新“民族团结一家亲”活动，促进各民族广泛交往、全面交流、深度交融。全面贯彻落实党的宗教工作基本方针，坚持新疆伊斯兰教中国化方向，依法治理宗教事务，积极引导宗教与社会主义社会相适应，确保宗教领域和睦和谐。统筹推进各项工作，奋力开创民族团结、宗教和谐的新局面。</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阶段性目标：2022年1-11月，</w:t>
      </w:r>
      <w:r>
        <w:rPr>
          <w:rStyle w:val="19"/>
          <w:rFonts w:hint="eastAsia" w:ascii="楷体" w:hAnsi="楷体" w:eastAsia="楷体"/>
          <w:spacing w:val="-4"/>
          <w:sz w:val="32"/>
          <w:szCs w:val="32"/>
          <w:lang w:eastAsia="zh-CN"/>
        </w:rPr>
        <w:t>认真</w:t>
      </w:r>
      <w:r>
        <w:rPr>
          <w:rStyle w:val="19"/>
          <w:rFonts w:hint="eastAsia" w:ascii="楷体" w:hAnsi="楷体" w:eastAsia="楷体"/>
          <w:spacing w:val="-4"/>
          <w:sz w:val="32"/>
          <w:szCs w:val="32"/>
        </w:rPr>
        <w:t>落实年度项目计划安排，高质量完成重大政策措施贯彻落实情况</w:t>
      </w:r>
      <w:r>
        <w:rPr>
          <w:rStyle w:val="19"/>
          <w:rFonts w:hint="eastAsia" w:ascii="楷体" w:hAnsi="楷体" w:eastAsia="楷体"/>
          <w:spacing w:val="-4"/>
          <w:sz w:val="32"/>
          <w:szCs w:val="32"/>
          <w:lang w:eastAsia="zh-CN"/>
        </w:rPr>
        <w:t>，认真</w:t>
      </w:r>
      <w:r>
        <w:rPr>
          <w:rStyle w:val="19"/>
          <w:rFonts w:hint="eastAsia" w:ascii="楷体" w:hAnsi="楷体" w:eastAsia="楷体"/>
          <w:spacing w:val="-4"/>
          <w:sz w:val="32"/>
          <w:szCs w:val="32"/>
        </w:rPr>
        <w:t>贯彻执行党和国家及自治区党委、政府关于民族宗教工作的方针、政策和法律、法规、规章，组织开展民族宗教问题和民族地区经济社会发展方面问题的调查研究工作；</w:t>
      </w:r>
      <w:r>
        <w:rPr>
          <w:rStyle w:val="19"/>
          <w:rFonts w:hint="eastAsia" w:ascii="楷体" w:hAnsi="楷体" w:eastAsia="楷体"/>
          <w:spacing w:val="-4"/>
          <w:sz w:val="32"/>
          <w:szCs w:val="32"/>
          <w:lang w:eastAsia="zh-CN"/>
        </w:rPr>
        <w:t>二是</w:t>
      </w:r>
      <w:r>
        <w:rPr>
          <w:rStyle w:val="19"/>
          <w:rFonts w:hint="eastAsia" w:ascii="楷体" w:hAnsi="楷体" w:eastAsia="楷体"/>
          <w:spacing w:val="-4"/>
          <w:sz w:val="32"/>
          <w:szCs w:val="32"/>
        </w:rPr>
        <w:t>全面贯彻落实党的宗教工作基本方针，坚持我国宗教中国化方向，依法治理宗教事务，积极引导宗教与社会主义社会相适应</w:t>
      </w:r>
      <w:r>
        <w:rPr>
          <w:rStyle w:val="19"/>
          <w:rFonts w:hint="eastAsia" w:ascii="楷体" w:hAnsi="楷体" w:eastAsia="楷体"/>
          <w:spacing w:val="-4"/>
          <w:sz w:val="32"/>
          <w:szCs w:val="32"/>
          <w:lang w:eastAsia="zh-CN"/>
        </w:rPr>
        <w:t>。</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组织委局120名干部赴皮山县科克铁热克乡开展“民族团结一家亲”结对认亲和民族团结联谊活动。促进各民族交往交流交融，铸牢中华民族共同体意识，推动各民族共同团结奋斗，共同繁荣发展。</w:t>
      </w:r>
      <w:r>
        <w:rPr>
          <w:rStyle w:val="19"/>
          <w:rFonts w:hint="eastAsia" w:ascii="楷体" w:hAnsi="楷体" w:eastAsia="楷体"/>
          <w:spacing w:val="-4"/>
          <w:sz w:val="32"/>
          <w:szCs w:val="32"/>
        </w:rPr>
        <w:cr/>
      </w: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开展清真食品管理。在全疆14个地州市开展清真食品管理、宣传、调研工作，重点对昌吉州、乌鲁木齐是进行督察；根据自治区扶贫开发领导小组要求，派员赴全疆开展少数民族项目资金督导检查指导工作，确保各项工作任务顺利完成。</w:t>
      </w:r>
    </w:p>
    <w:p>
      <w:pPr>
        <w:numPr>
          <w:ilvl w:val="0"/>
          <w:numId w:val="1"/>
        </w:numPr>
        <w:spacing w:line="540" w:lineRule="exact"/>
        <w:ind w:firstLine="640"/>
        <w:rPr>
          <w:rStyle w:val="19"/>
          <w:rFonts w:hint="eastAsia"/>
          <w:spacing w:val="-4"/>
          <w:sz w:val="32"/>
          <w:szCs w:val="32"/>
        </w:rPr>
      </w:pPr>
      <w:r>
        <w:rPr>
          <w:rStyle w:val="19"/>
          <w:rFonts w:hint="eastAsia"/>
          <w:spacing w:val="-4"/>
          <w:sz w:val="32"/>
          <w:szCs w:val="32"/>
        </w:rPr>
        <w:t>绩效评价工作开展情况</w:t>
      </w:r>
    </w:p>
    <w:p>
      <w:pPr>
        <w:widowControl/>
        <w:spacing w:line="560" w:lineRule="exact"/>
        <w:ind w:left="420" w:leftChars="200" w:firstLine="321" w:firstLineChars="100"/>
        <w:jc w:val="left"/>
        <w:rPr>
          <w:rFonts w:hint="eastAsia" w:ascii="仿宋_GB2312" w:eastAsia="仿宋_GB2312"/>
          <w:b/>
          <w:bCs/>
          <w:sz w:val="32"/>
          <w:szCs w:val="32"/>
        </w:rPr>
      </w:pPr>
      <w:r>
        <w:rPr>
          <w:rFonts w:hint="eastAsia" w:ascii="仿宋_GB2312" w:eastAsia="仿宋_GB2312"/>
          <w:b/>
          <w:bCs/>
          <w:sz w:val="32"/>
          <w:szCs w:val="32"/>
        </w:rPr>
        <w:t>（一）绩效评价目的、对象和范围</w:t>
      </w:r>
    </w:p>
    <w:p>
      <w:pPr>
        <w:pStyle w:val="16"/>
        <w:widowControl/>
        <w:shd w:val="clear" w:color="auto" w:fill="FFFFFF"/>
        <w:spacing w:before="132" w:beforeAutospacing="0" w:after="378" w:afterAutospacing="0"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目的：通过评价民族宗教及培训专项财政资金预算支出的绩效状况，为今后预算安排提供决策支持。进一步增强本单位支出管理的责任，加强财政资金管理，合理、规范、有效使用财政资金，以达到改进预算管理、优化资源配置、控制节约成本、提高财政资金使用效益、充分发挥民族宗教工作的职能作用。</w:t>
      </w:r>
    </w:p>
    <w:p>
      <w:pPr>
        <w:pStyle w:val="16"/>
        <w:widowControl/>
        <w:shd w:val="clear" w:color="auto" w:fill="FFFFFF"/>
        <w:spacing w:before="132" w:beforeAutospacing="0" w:after="378" w:afterAutospacing="0"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对象：自治区财政资金201.16万元，其中</w:t>
      </w:r>
    </w:p>
    <w:p>
      <w:pPr>
        <w:pStyle w:val="16"/>
        <w:widowControl/>
        <w:shd w:val="clear" w:color="auto" w:fill="FFFFFF"/>
        <w:spacing w:before="132" w:beforeAutospacing="0" w:after="378" w:afterAutospacing="0"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范围：全疆14第地州市民族宗教工作相关领域。</w:t>
      </w:r>
    </w:p>
    <w:p>
      <w:pPr>
        <w:widowControl/>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（二）绩效评价原则、评价指标体系、评价方法、评价标准</w:t>
      </w:r>
    </w:p>
    <w:p>
      <w:pPr>
        <w:pStyle w:val="16"/>
        <w:widowControl/>
        <w:shd w:val="clear" w:color="auto" w:fill="FFFFFF"/>
        <w:spacing w:before="0" w:beforeAutospacing="0" w:after="0" w:afterAutospacing="0" w:line="560" w:lineRule="exact"/>
        <w:ind w:firstLine="79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1.绩效评价原则。</w:t>
      </w:r>
    </w:p>
    <w:p>
      <w:pPr>
        <w:pStyle w:val="16"/>
        <w:widowControl/>
        <w:shd w:val="clear" w:color="auto" w:fill="FFFFFF"/>
        <w:spacing w:before="0" w:beforeAutospacing="0" w:after="0" w:afterAutospacing="0" w:line="560" w:lineRule="exact"/>
        <w:ind w:firstLine="79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为了规范和加强专项补助资金的管理，提高资金使用绩效和管理水平，按照《项目支出绩效评价管理办法》工作要求，组织开展了2022年自治区民族宗教及培训专项资金绩效评价工作，绩效评价过程中应遵循的绩效评价原则及相关评价方法如下：</w:t>
      </w:r>
    </w:p>
    <w:p>
      <w:pPr>
        <w:pStyle w:val="16"/>
        <w:widowControl/>
        <w:shd w:val="clear" w:color="auto" w:fill="FFFFFF"/>
        <w:spacing w:before="0" w:beforeAutospacing="0" w:after="0" w:afterAutospacing="0" w:line="560" w:lineRule="exact"/>
        <w:ind w:firstLine="79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（1）科学公正。绩效评价应当运用科学合理的方法，按照规范的程序，对项目绩效进行客观、公正的反映。</w:t>
      </w:r>
    </w:p>
    <w:p>
      <w:pPr>
        <w:pStyle w:val="16"/>
        <w:widowControl/>
        <w:shd w:val="clear" w:color="auto" w:fill="FFFFFF"/>
        <w:spacing w:before="0" w:beforeAutospacing="0" w:after="0" w:afterAutospacing="0" w:line="560" w:lineRule="exact"/>
        <w:ind w:firstLine="79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（2）统筹兼顾。单位自评、部门评价和财政评价应职责明确，各有侧重，相互衔接。单位自评应由项目单位负责实施，即“谁支出、谁自评”。</w:t>
      </w:r>
    </w:p>
    <w:p>
      <w:pPr>
        <w:pStyle w:val="16"/>
        <w:widowControl/>
        <w:shd w:val="clear" w:color="auto" w:fill="FFFFFF"/>
        <w:spacing w:before="0" w:beforeAutospacing="0" w:after="0" w:afterAutospacing="0" w:line="560" w:lineRule="exact"/>
        <w:ind w:firstLine="79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（3）激励约束。绩效评价结果应与改进管理实质性挂钩，体现奖优罚劣和激励相容导向，有效要安排、低效要压减、无效要问责。</w:t>
      </w:r>
    </w:p>
    <w:p>
      <w:pPr>
        <w:pStyle w:val="16"/>
        <w:widowControl/>
        <w:shd w:val="clear" w:color="auto" w:fill="FFFFFF"/>
        <w:spacing w:before="0" w:beforeAutospacing="0" w:after="0" w:afterAutospacing="0" w:line="560" w:lineRule="exact"/>
        <w:ind w:firstLine="6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（4）公开透明。绩效评价结果应依法依规公开，并自觉接受社会监督。</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2、绩效评价指标体系</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本次绩效评价指标体系主要分为共性指标和个性指标两大类。共性指标下设决策与过程2个一级指标，其中：项目决策下绩效目标、资金投入2个二级指标；过程下设资金管理和组织实施2个二级指标。个性指标下设产出和效益2个一级指标，其中产出下设产出数量、产出质量、产出时效、产出成本4个2级指标，效益下设社会效益、生态效益2个二级指标。</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项目绩效评价指标体系详见下表：</w:t>
      </w:r>
    </w:p>
    <w:tbl>
      <w:tblPr>
        <w:tblStyle w:val="21"/>
        <w:tblW w:w="8827" w:type="dxa"/>
        <w:tblInd w:w="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73"/>
        <w:gridCol w:w="1011"/>
        <w:gridCol w:w="1373"/>
        <w:gridCol w:w="4155"/>
        <w:gridCol w:w="9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rPr>
        <w:tc>
          <w:tcPr>
            <w:tcW w:w="1373"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一级指标</w:t>
            </w:r>
          </w:p>
        </w:tc>
        <w:tc>
          <w:tcPr>
            <w:tcW w:w="1011"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二级指标</w:t>
            </w:r>
          </w:p>
        </w:tc>
        <w:tc>
          <w:tcPr>
            <w:tcW w:w="1373"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三级指标</w:t>
            </w:r>
          </w:p>
        </w:tc>
        <w:tc>
          <w:tcPr>
            <w:tcW w:w="4155" w:type="dxa"/>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指标解释</w:t>
            </w:r>
          </w:p>
        </w:tc>
        <w:tc>
          <w:tcPr>
            <w:tcW w:w="915" w:type="dxa"/>
            <w:shd w:val="clear" w:color="auto" w:fill="FFFFFF"/>
            <w:noWrap w:val="0"/>
            <w:tcMar>
              <w:top w:w="10" w:type="dxa"/>
              <w:left w:w="10" w:type="dxa"/>
              <w:right w:w="10" w:type="dxa"/>
            </w:tcMar>
            <w:vAlign w:val="center"/>
          </w:tcPr>
          <w:p>
            <w:pPr>
              <w:spacing w:line="560" w:lineRule="exact"/>
              <w:ind w:firstLine="313" w:firstLineChars="1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分值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restart"/>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决策（20）</w:t>
            </w:r>
          </w:p>
        </w:tc>
        <w:tc>
          <w:tcPr>
            <w:tcW w:w="1011"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绩效目标（10）</w:t>
            </w:r>
          </w:p>
        </w:tc>
        <w:tc>
          <w:tcPr>
            <w:tcW w:w="1373"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绩效目标合理性</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（10）</w:t>
            </w:r>
          </w:p>
        </w:tc>
        <w:tc>
          <w:tcPr>
            <w:tcW w:w="4155" w:type="dxa"/>
            <w:vMerge w:val="restart"/>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项目所设定的绩效目标是否依据充分，是否符合客观实际，用以反映和考核项目绩效目标与项目实施的相符情况</w:t>
            </w:r>
          </w:p>
        </w:tc>
        <w:tc>
          <w:tcPr>
            <w:tcW w:w="915" w:type="dxa"/>
            <w:vMerge w:val="restart"/>
            <w:shd w:val="clear" w:color="auto" w:fill="FFFFFF"/>
            <w:noWrap w:val="0"/>
            <w:tcMar>
              <w:top w:w="10" w:type="dxa"/>
              <w:left w:w="10" w:type="dxa"/>
              <w:right w:w="10" w:type="dxa"/>
            </w:tcMar>
            <w:vAlign w:val="center"/>
          </w:tcPr>
          <w:p>
            <w:pPr>
              <w:spacing w:line="560" w:lineRule="exact"/>
              <w:ind w:firstLine="313" w:firstLineChars="1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资金投入</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（10）　　</w:t>
            </w:r>
          </w:p>
        </w:tc>
        <w:tc>
          <w:tcPr>
            <w:tcW w:w="1373"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预算编制科学性</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（10）</w:t>
            </w:r>
          </w:p>
        </w:tc>
        <w:tc>
          <w:tcPr>
            <w:tcW w:w="4155"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项目预算编制是否经过科学论证、有明确标准，资金额度与年度目标是否相适应，用以反映和考核项目预算编制的科学性、合理性情况。</w:t>
            </w:r>
          </w:p>
        </w:tc>
        <w:tc>
          <w:tcPr>
            <w:tcW w:w="915" w:type="dxa"/>
            <w:vMerge w:val="restart"/>
            <w:shd w:val="clear" w:color="auto" w:fill="FFFFFF"/>
            <w:noWrap w:val="0"/>
            <w:tcMar>
              <w:top w:w="10" w:type="dxa"/>
              <w:left w:w="10" w:type="dxa"/>
              <w:right w:w="10" w:type="dxa"/>
            </w:tcMar>
            <w:vAlign w:val="center"/>
          </w:tcPr>
          <w:p>
            <w:pPr>
              <w:spacing w:line="560" w:lineRule="exact"/>
              <w:ind w:firstLine="313" w:firstLineChars="1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4155"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vMerge w:val="continue"/>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30" w:hRule="atLeast"/>
        </w:trPr>
        <w:tc>
          <w:tcPr>
            <w:tcW w:w="1373" w:type="dxa"/>
            <w:vMerge w:val="restart"/>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过程（20）</w:t>
            </w:r>
          </w:p>
        </w:tc>
        <w:tc>
          <w:tcPr>
            <w:tcW w:w="1011" w:type="dxa"/>
            <w:vMerge w:val="restart"/>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资金管理（20）</w:t>
            </w:r>
          </w:p>
          <w:p>
            <w:pPr>
              <w:spacing w:line="560" w:lineRule="exact"/>
              <w:jc w:val="left"/>
              <w:rPr>
                <w:rStyle w:val="19"/>
                <w:rFonts w:hint="eastAsia" w:ascii="楷体" w:hAnsi="楷体" w:eastAsia="楷体" w:cs="Times New Roman"/>
                <w:spacing w:val="-4"/>
                <w:kern w:val="2"/>
                <w:sz w:val="32"/>
                <w:szCs w:val="32"/>
                <w:lang w:val="en-US" w:eastAsia="zh-CN" w:bidi="ar-SA"/>
              </w:rPr>
            </w:pP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资金到位率（5）</w:t>
            </w:r>
          </w:p>
        </w:tc>
        <w:tc>
          <w:tcPr>
            <w:tcW w:w="415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实际到位资金与预算资金的比率，用以反映和考核资金落实情况对项目实施的总体保障程度。</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45" w:hRule="atLeast"/>
        </w:trPr>
        <w:tc>
          <w:tcPr>
            <w:tcW w:w="1373" w:type="dxa"/>
            <w:vMerge w:val="continue"/>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预算执行率（5）</w:t>
            </w:r>
          </w:p>
        </w:tc>
        <w:tc>
          <w:tcPr>
            <w:tcW w:w="415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项目预算资金是否按照计划执行，用以反映或考核项目预算执行情况。</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28" w:hRule="atLeast"/>
        </w:trPr>
        <w:tc>
          <w:tcPr>
            <w:tcW w:w="1373" w:type="dxa"/>
            <w:vMerge w:val="continue"/>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资金使用合规性（10）</w:t>
            </w:r>
          </w:p>
        </w:tc>
        <w:tc>
          <w:tcPr>
            <w:tcW w:w="415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项目资金使用是否符合相关的财务管理制度规定，用以反映和考核项目资金的规范运行情况。</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313" w:firstLineChars="1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30" w:hRule="atLeast"/>
        </w:trPr>
        <w:tc>
          <w:tcPr>
            <w:tcW w:w="1373" w:type="dxa"/>
            <w:vMerge w:val="restart"/>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产出（40）</w:t>
            </w:r>
          </w:p>
        </w:tc>
        <w:tc>
          <w:tcPr>
            <w:tcW w:w="1011"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产出数量（10）</w:t>
            </w: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全年培训班培训人数、期数（10）</w:t>
            </w:r>
          </w:p>
        </w:tc>
        <w:tc>
          <w:tcPr>
            <w:tcW w:w="415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项目实施的实际完工数，用以反映和考核项目产出数量目标的实现程度。</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80" w:hRule="atLeast"/>
        </w:trPr>
        <w:tc>
          <w:tcPr>
            <w:tcW w:w="1373" w:type="dxa"/>
            <w:vMerge w:val="continue"/>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产出质量（10）</w:t>
            </w: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各项工作开展情况（％）</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（10）</w:t>
            </w:r>
          </w:p>
        </w:tc>
        <w:tc>
          <w:tcPr>
            <w:tcW w:w="4155" w:type="dxa"/>
            <w:tcBorders>
              <w:bottom w:val="single" w:color="000000" w:sz="6" w:space="0"/>
            </w:tcBorders>
            <w:shd w:val="clear" w:color="auto" w:fill="FFFFFF"/>
            <w:noWrap w:val="0"/>
            <w:tcMar>
              <w:top w:w="10" w:type="dxa"/>
              <w:left w:w="10" w:type="dxa"/>
              <w:right w:w="10" w:type="dxa"/>
            </w:tcMar>
            <w:vAlign w:val="center"/>
          </w:tcPr>
          <w:p>
            <w:pPr>
              <w:widowControl/>
              <w:spacing w:line="28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项目完成的验收合格产出数与实际产出数的比率，用以反映和考核项目产出质量目标的实现程度。</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313" w:firstLineChars="1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25" w:hRule="atLeast"/>
        </w:trPr>
        <w:tc>
          <w:tcPr>
            <w:tcW w:w="1373" w:type="dxa"/>
            <w:vMerge w:val="continue"/>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产出时效（10）</w:t>
            </w: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按计划完工率（％）</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（10）</w:t>
            </w:r>
          </w:p>
        </w:tc>
        <w:tc>
          <w:tcPr>
            <w:tcW w:w="415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项目按计划实施时间与计划完工时间的比较，用以反映和考核项目产出时效目标的实现程度。</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08"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restart"/>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产出成本（10）</w:t>
            </w:r>
          </w:p>
        </w:tc>
        <w:tc>
          <w:tcPr>
            <w:tcW w:w="1373" w:type="dxa"/>
            <w:tcBorders>
              <w:bottom w:val="single" w:color="000000" w:sz="6" w:space="0"/>
            </w:tcBorders>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项目预算完成率（％）</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（5）</w:t>
            </w:r>
          </w:p>
        </w:tc>
        <w:tc>
          <w:tcPr>
            <w:tcW w:w="415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完成项目计划工作目标的实际节约成本与计划成本的比率，用以反映和考核项目的成本节约程度。</w:t>
            </w:r>
          </w:p>
        </w:tc>
        <w:tc>
          <w:tcPr>
            <w:tcW w:w="915" w:type="dxa"/>
            <w:tcBorders>
              <w:bottom w:val="single" w:color="000000" w:sz="6" w:space="0"/>
            </w:tcBorders>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5" w:hRule="atLeast"/>
        </w:trPr>
        <w:tc>
          <w:tcPr>
            <w:tcW w:w="1373" w:type="dxa"/>
            <w:vMerge w:val="continue"/>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p>
        </w:tc>
        <w:tc>
          <w:tcPr>
            <w:tcW w:w="1373"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项目预算控制率（％）</w:t>
            </w:r>
          </w:p>
          <w:p>
            <w:pPr>
              <w:pStyle w:val="1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c>
          <w:tcPr>
            <w:tcW w:w="4155" w:type="dxa"/>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反映项目实际支出与项目预算的比例情况</w:t>
            </w:r>
          </w:p>
        </w:tc>
        <w:tc>
          <w:tcPr>
            <w:tcW w:w="915" w:type="dxa"/>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5" w:hRule="atLeast"/>
        </w:trPr>
        <w:tc>
          <w:tcPr>
            <w:tcW w:w="1373"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效益（20）</w:t>
            </w:r>
          </w:p>
        </w:tc>
        <w:tc>
          <w:tcPr>
            <w:tcW w:w="1011" w:type="dxa"/>
            <w:vMerge w:val="restart"/>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项目效益　</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（20）</w:t>
            </w:r>
          </w:p>
        </w:tc>
        <w:tc>
          <w:tcPr>
            <w:tcW w:w="1373"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社会效益指标</w:t>
            </w:r>
          </w:p>
          <w:p>
            <w:pPr>
              <w:pStyle w:val="15"/>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c>
          <w:tcPr>
            <w:tcW w:w="4155" w:type="dxa"/>
            <w:shd w:val="clear" w:color="auto" w:fill="FFFFFF"/>
            <w:noWrap w:val="0"/>
            <w:tcMar>
              <w:top w:w="10" w:type="dxa"/>
              <w:left w:w="10" w:type="dxa"/>
              <w:right w:w="10" w:type="dxa"/>
            </w:tcMar>
            <w:vAlign w:val="center"/>
          </w:tcPr>
          <w:p>
            <w:pPr>
              <w:spacing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项目实施所产生的可持续影响。</w:t>
            </w:r>
          </w:p>
        </w:tc>
        <w:tc>
          <w:tcPr>
            <w:tcW w:w="915" w:type="dxa"/>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75"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满意度</w:t>
            </w:r>
            <w:r>
              <w:rPr>
                <w:rStyle w:val="19"/>
                <w:rFonts w:hint="eastAsia" w:ascii="楷体" w:hAnsi="楷体" w:eastAsia="楷体" w:cs="Times New Roman"/>
                <w:spacing w:val="-4"/>
                <w:kern w:val="2"/>
                <w:sz w:val="32"/>
                <w:szCs w:val="32"/>
                <w:lang w:val="en-US" w:eastAsia="zh-CN" w:bidi="ar-SA"/>
              </w:rPr>
              <w:br w:type="textWrapping"/>
            </w:r>
            <w:r>
              <w:rPr>
                <w:rStyle w:val="19"/>
                <w:rFonts w:hint="eastAsia" w:ascii="楷体" w:hAnsi="楷体" w:eastAsia="楷体" w:cs="Times New Roman"/>
                <w:spacing w:val="-4"/>
                <w:kern w:val="2"/>
                <w:sz w:val="32"/>
                <w:szCs w:val="32"/>
                <w:lang w:val="en-US" w:eastAsia="zh-CN" w:bidi="ar-SA"/>
              </w:rPr>
              <w:t>（5）</w:t>
            </w:r>
          </w:p>
        </w:tc>
        <w:tc>
          <w:tcPr>
            <w:tcW w:w="4155" w:type="dxa"/>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社会公众或服务对象对项目实施效果的满意程度。</w:t>
            </w:r>
          </w:p>
        </w:tc>
        <w:tc>
          <w:tcPr>
            <w:tcW w:w="915" w:type="dxa"/>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75" w:hRule="atLeast"/>
        </w:trPr>
        <w:tc>
          <w:tcPr>
            <w:tcW w:w="1373"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011" w:type="dxa"/>
            <w:vMerge w:val="continue"/>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1373" w:type="dxa"/>
            <w:shd w:val="clear" w:color="auto" w:fill="FFFFFF"/>
            <w:noWrap w:val="0"/>
            <w:tcMar>
              <w:top w:w="10" w:type="dxa"/>
              <w:left w:w="10" w:type="dxa"/>
              <w:right w:w="10" w:type="dxa"/>
            </w:tcMar>
            <w:vAlign w:val="center"/>
          </w:tcPr>
          <w:p>
            <w:pPr>
              <w:spacing w:line="560" w:lineRule="exact"/>
              <w:jc w:val="left"/>
              <w:rPr>
                <w:rStyle w:val="19"/>
                <w:rFonts w:hint="eastAsia" w:ascii="楷体" w:hAnsi="楷体" w:eastAsia="楷体" w:cs="Times New Roman"/>
                <w:spacing w:val="-4"/>
                <w:kern w:val="2"/>
                <w:sz w:val="32"/>
                <w:szCs w:val="32"/>
                <w:lang w:val="en-US" w:eastAsia="zh-CN" w:bidi="ar-SA"/>
              </w:rPr>
            </w:pPr>
          </w:p>
        </w:tc>
        <w:tc>
          <w:tcPr>
            <w:tcW w:w="4155" w:type="dxa"/>
            <w:shd w:val="clear" w:color="auto" w:fill="FFFFFF"/>
            <w:noWrap w:val="0"/>
            <w:tcMar>
              <w:top w:w="10" w:type="dxa"/>
              <w:left w:w="10" w:type="dxa"/>
              <w:right w:w="10" w:type="dxa"/>
            </w:tcMar>
            <w:vAlign w:val="center"/>
          </w:tcPr>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p>
        </w:tc>
        <w:tc>
          <w:tcPr>
            <w:tcW w:w="915" w:type="dxa"/>
            <w:shd w:val="clear" w:color="auto" w:fill="FFFFFF"/>
            <w:noWrap w:val="0"/>
            <w:tcMar>
              <w:top w:w="10" w:type="dxa"/>
              <w:left w:w="10" w:type="dxa"/>
              <w:right w:w="10" w:type="dxa"/>
            </w:tcMar>
            <w:vAlign w:val="center"/>
          </w:tcPr>
          <w:p>
            <w:pPr>
              <w:spacing w:line="560" w:lineRule="exact"/>
              <w:ind w:firstLine="470" w:firstLineChars="150"/>
              <w:rPr>
                <w:rStyle w:val="19"/>
                <w:rFonts w:hint="eastAsia" w:ascii="楷体" w:hAnsi="楷体" w:eastAsia="楷体" w:cs="Times New Roman"/>
                <w:spacing w:val="-4"/>
                <w:kern w:val="2"/>
                <w:sz w:val="32"/>
                <w:szCs w:val="32"/>
                <w:lang w:val="en-US" w:eastAsia="zh-CN" w:bidi="ar-SA"/>
              </w:rPr>
            </w:pPr>
          </w:p>
        </w:tc>
      </w:tr>
    </w:tbl>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3、绩效评价标准</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绩效评价标准通常包括计划标准、行业标准、历史标准等，用于对绩效指标完成情况进行比较。本次评价主要采用了计划标准。</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4、评价方法</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绩效评价方法主要包括成本效益分析法、比较法、因素分析法、最低成本法、公众评判法、标杆管理法等。针对本项目，在评价过程中主要采用了因素分析法、成本效益分析法等。</w:t>
      </w:r>
    </w:p>
    <w:p>
      <w:pPr>
        <w:spacing w:line="560" w:lineRule="exact"/>
        <w:ind w:firstLine="460" w:firstLineChars="147"/>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（三）绩效评价工作过程</w:t>
      </w:r>
    </w:p>
    <w:p>
      <w:pPr>
        <w:pStyle w:val="16"/>
        <w:widowControl/>
        <w:shd w:val="clear" w:color="auto" w:fill="FFFFFF"/>
        <w:spacing w:before="132" w:beforeAutospacing="0" w:after="378" w:afterAutospacing="0"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根据《自治区关于开展2022年度本级财政资金绩效自评工作的通知》等相关文件要求，本单位制定了项目支出绩效评价的工作方案、评价指标，成立了绩效评价工作领导小组。绩效评价工作主要如下：（1）核实数据，对2022年度部门项目支出数据的准确性、真实性进行核实，将2022年度和2021年度部门项目支出情况进行比较分析。（2）查阅资料。查阅2022年度预算安排、预算追加、资金管理、经费支出、资产管理等相关文件资料和财务凭证。（3）调查统计。对项目履行职责情况的公众满意度向服务对象及单位人员进行调查。（4）归纳汇总。对收集的评价材料结合本单位情况进行综合分析、归纳汇总。（5）根据评价材料结合各项评价指标进行分析评分。（6）形成绩效评价自评报告。</w:t>
      </w:r>
    </w:p>
    <w:p>
      <w:pPr>
        <w:pStyle w:val="16"/>
        <w:widowControl/>
        <w:shd w:val="clear" w:color="auto" w:fill="FFFFFF"/>
        <w:spacing w:before="132" w:beforeAutospacing="0" w:after="378" w:afterAutospacing="0" w:line="560" w:lineRule="exact"/>
        <w:ind w:firstLine="627" w:firstLineChars="200"/>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三、综合评价情况及评价结论（附相关评分表）</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运用由项目组制订评价指标体系及评分标准，通过数据采集、问卷调查，对民族宗教及培训专项经费项目进行客观评价，最终评分结果：总得分为100分，属于“良”。其中：其中：项目决策指标权重为20分，得分为20分，得分率为100%；项目管理权重为20分，得分为20分，得分率为100%；项目绩效权重为60分，得分为46.8分，得分率为78.36%，具体打分情况详见附件2（综合评分表）。</w:t>
      </w:r>
    </w:p>
    <w:p>
      <w:pPr>
        <w:spacing w:line="560" w:lineRule="exact"/>
        <w:ind w:firstLine="627" w:firstLineChars="200"/>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民族宗教工作及培训专项经费得分情况表</w:t>
      </w:r>
    </w:p>
    <w:tbl>
      <w:tblPr>
        <w:tblStyle w:val="21"/>
        <w:tblW w:w="8473" w:type="dxa"/>
        <w:tblInd w:w="0" w:type="dxa"/>
        <w:tblLayout w:type="fixed"/>
        <w:tblCellMar>
          <w:top w:w="0" w:type="dxa"/>
          <w:left w:w="108" w:type="dxa"/>
          <w:bottom w:w="0" w:type="dxa"/>
          <w:right w:w="108" w:type="dxa"/>
        </w:tblCellMar>
      </w:tblPr>
      <w:tblGrid>
        <w:gridCol w:w="2660"/>
        <w:gridCol w:w="2127"/>
        <w:gridCol w:w="1986"/>
        <w:gridCol w:w="1700"/>
      </w:tblGrid>
      <w:tr>
        <w:tblPrEx>
          <w:tblLayout w:type="fixed"/>
          <w:tblCellMar>
            <w:top w:w="0" w:type="dxa"/>
            <w:left w:w="108" w:type="dxa"/>
            <w:bottom w:w="0" w:type="dxa"/>
            <w:right w:w="108" w:type="dxa"/>
          </w:tblCellMar>
        </w:tblPrEx>
        <w:trPr>
          <w:trHeight w:val="510" w:hRule="exact"/>
          <w:tblHeader/>
        </w:trPr>
        <w:tc>
          <w:tcPr>
            <w:tcW w:w="2660" w:type="dxa"/>
            <w:tcBorders>
              <w:top w:val="single" w:color="auto" w:sz="8" w:space="0"/>
              <w:left w:val="single" w:color="auto" w:sz="8" w:space="0"/>
              <w:bottom w:val="single" w:color="auto" w:sz="8" w:space="0"/>
              <w:right w:val="single" w:color="auto" w:sz="8" w:space="0"/>
            </w:tcBorders>
            <w:shd w:val="clear" w:color="000000" w:fill="A6A6A6"/>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一级指标</w:t>
            </w:r>
          </w:p>
        </w:tc>
        <w:tc>
          <w:tcPr>
            <w:tcW w:w="2127" w:type="dxa"/>
            <w:tcBorders>
              <w:top w:val="single" w:color="auto" w:sz="8" w:space="0"/>
              <w:left w:val="nil"/>
              <w:bottom w:val="single" w:color="auto" w:sz="8" w:space="0"/>
              <w:right w:val="single" w:color="auto" w:sz="8" w:space="0"/>
            </w:tcBorders>
            <w:shd w:val="clear" w:color="000000" w:fill="A6A6A6"/>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权重</w:t>
            </w:r>
          </w:p>
        </w:tc>
        <w:tc>
          <w:tcPr>
            <w:tcW w:w="1986" w:type="dxa"/>
            <w:tcBorders>
              <w:top w:val="single" w:color="auto" w:sz="8" w:space="0"/>
              <w:left w:val="nil"/>
              <w:bottom w:val="single" w:color="auto" w:sz="8" w:space="0"/>
              <w:right w:val="single" w:color="auto" w:sz="8" w:space="0"/>
            </w:tcBorders>
            <w:shd w:val="clear" w:color="000000" w:fill="A6A6A6"/>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得分率</w:t>
            </w:r>
          </w:p>
        </w:tc>
        <w:tc>
          <w:tcPr>
            <w:tcW w:w="1700" w:type="dxa"/>
            <w:tcBorders>
              <w:top w:val="single" w:color="auto" w:sz="8" w:space="0"/>
              <w:left w:val="nil"/>
              <w:bottom w:val="single" w:color="auto" w:sz="8" w:space="0"/>
              <w:right w:val="single" w:color="auto" w:sz="8" w:space="0"/>
            </w:tcBorders>
            <w:shd w:val="clear" w:color="000000" w:fill="A6A6A6"/>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实际得分</w:t>
            </w:r>
          </w:p>
        </w:tc>
      </w:tr>
      <w:tr>
        <w:tblPrEx>
          <w:tblLayout w:type="fixed"/>
          <w:tblCellMar>
            <w:top w:w="0" w:type="dxa"/>
            <w:left w:w="108" w:type="dxa"/>
            <w:bottom w:w="0" w:type="dxa"/>
            <w:right w:w="108" w:type="dxa"/>
          </w:tblCellMar>
        </w:tblPrEx>
        <w:trPr>
          <w:trHeight w:val="510" w:hRule="exact"/>
          <w:tblHeader/>
        </w:trPr>
        <w:tc>
          <w:tcPr>
            <w:tcW w:w="2660" w:type="dxa"/>
            <w:tcBorders>
              <w:top w:val="single" w:color="auto" w:sz="8" w:space="0"/>
              <w:left w:val="single" w:color="auto" w:sz="8" w:space="0"/>
              <w:bottom w:val="single" w:color="auto" w:sz="8" w:space="0"/>
              <w:right w:val="single" w:color="auto" w:sz="8" w:space="0"/>
            </w:tcBorders>
            <w:noWrap w:val="0"/>
            <w:vAlign w:val="center"/>
          </w:tcPr>
          <w:p>
            <w:pPr>
              <w:spacing w:line="40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A.项目决策</w:t>
            </w:r>
          </w:p>
        </w:tc>
        <w:tc>
          <w:tcPr>
            <w:tcW w:w="2127" w:type="dxa"/>
            <w:tcBorders>
              <w:top w:val="single" w:color="auto" w:sz="8" w:space="0"/>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20</w:t>
            </w:r>
          </w:p>
        </w:tc>
        <w:tc>
          <w:tcPr>
            <w:tcW w:w="1986" w:type="dxa"/>
            <w:tcBorders>
              <w:top w:val="single" w:color="auto" w:sz="8" w:space="0"/>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100%</w:t>
            </w:r>
          </w:p>
        </w:tc>
        <w:tc>
          <w:tcPr>
            <w:tcW w:w="1700" w:type="dxa"/>
            <w:tcBorders>
              <w:top w:val="single" w:color="auto" w:sz="8" w:space="0"/>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20</w:t>
            </w:r>
          </w:p>
        </w:tc>
      </w:tr>
      <w:tr>
        <w:tblPrEx>
          <w:tblLayout w:type="fixed"/>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noWrap w:val="0"/>
            <w:vAlign w:val="center"/>
          </w:tcPr>
          <w:p>
            <w:pPr>
              <w:spacing w:line="40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B.项目管理</w:t>
            </w:r>
          </w:p>
        </w:tc>
        <w:tc>
          <w:tcPr>
            <w:tcW w:w="2127"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20</w:t>
            </w:r>
          </w:p>
        </w:tc>
        <w:tc>
          <w:tcPr>
            <w:tcW w:w="1986"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100%</w:t>
            </w:r>
          </w:p>
        </w:tc>
        <w:tc>
          <w:tcPr>
            <w:tcW w:w="1700"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20</w:t>
            </w:r>
          </w:p>
        </w:tc>
      </w:tr>
      <w:tr>
        <w:tblPrEx>
          <w:tblLayout w:type="fixed"/>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noWrap w:val="0"/>
            <w:vAlign w:val="center"/>
          </w:tcPr>
          <w:p>
            <w:pPr>
              <w:spacing w:line="400" w:lineRule="exact"/>
              <w:jc w:val="left"/>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C.项目绩效</w:t>
            </w:r>
          </w:p>
        </w:tc>
        <w:tc>
          <w:tcPr>
            <w:tcW w:w="2127"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60</w:t>
            </w:r>
          </w:p>
        </w:tc>
        <w:tc>
          <w:tcPr>
            <w:tcW w:w="1986"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78.36%</w:t>
            </w:r>
          </w:p>
        </w:tc>
        <w:tc>
          <w:tcPr>
            <w:tcW w:w="1700"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46.8</w:t>
            </w:r>
          </w:p>
        </w:tc>
      </w:tr>
      <w:tr>
        <w:tblPrEx>
          <w:tblLayout w:type="fixed"/>
          <w:tblCellMar>
            <w:top w:w="0" w:type="dxa"/>
            <w:left w:w="108" w:type="dxa"/>
            <w:bottom w:w="0" w:type="dxa"/>
            <w:right w:w="108" w:type="dxa"/>
          </w:tblCellMar>
        </w:tblPrEx>
        <w:trPr>
          <w:trHeight w:val="510" w:hRule="exact"/>
          <w:tblHeader/>
        </w:trPr>
        <w:tc>
          <w:tcPr>
            <w:tcW w:w="2660" w:type="dxa"/>
            <w:tcBorders>
              <w:top w:val="nil"/>
              <w:left w:val="single" w:color="auto" w:sz="8" w:space="0"/>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合  计</w:t>
            </w:r>
          </w:p>
        </w:tc>
        <w:tc>
          <w:tcPr>
            <w:tcW w:w="2127"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100</w:t>
            </w:r>
          </w:p>
        </w:tc>
        <w:tc>
          <w:tcPr>
            <w:tcW w:w="1986"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100%</w:t>
            </w:r>
          </w:p>
        </w:tc>
        <w:tc>
          <w:tcPr>
            <w:tcW w:w="1700" w:type="dxa"/>
            <w:tcBorders>
              <w:top w:val="nil"/>
              <w:left w:val="nil"/>
              <w:bottom w:val="single" w:color="auto" w:sz="8" w:space="0"/>
              <w:right w:val="single" w:color="auto" w:sz="8" w:space="0"/>
            </w:tcBorders>
            <w:noWrap w:val="0"/>
            <w:vAlign w:val="center"/>
          </w:tcPr>
          <w:p>
            <w:pPr>
              <w:spacing w:line="400" w:lineRule="exact"/>
              <w:jc w:val="center"/>
              <w:rPr>
                <w:rStyle w:val="19"/>
                <w:rFonts w:hint="eastAsia" w:ascii="楷体" w:hAnsi="楷体" w:eastAsia="楷体" w:cs="Times New Roman"/>
                <w:spacing w:val="-4"/>
                <w:kern w:val="2"/>
                <w:sz w:val="32"/>
                <w:szCs w:val="32"/>
                <w:lang w:val="en-US" w:eastAsia="zh-CN" w:bidi="ar-SA"/>
              </w:rPr>
            </w:pPr>
            <w:r>
              <w:rPr>
                <w:rStyle w:val="19"/>
                <w:rFonts w:hint="eastAsia" w:ascii="楷体" w:hAnsi="楷体" w:eastAsia="楷体" w:cs="Times New Roman"/>
                <w:spacing w:val="-4"/>
                <w:kern w:val="2"/>
                <w:sz w:val="32"/>
                <w:szCs w:val="32"/>
                <w:lang w:val="en-US" w:eastAsia="zh-CN" w:bidi="ar-SA"/>
              </w:rPr>
              <w:t>86.8</w:t>
            </w:r>
          </w:p>
        </w:tc>
      </w:tr>
    </w:tbl>
    <w:p>
      <w:pPr>
        <w:numPr>
          <w:numId w:val="0"/>
        </w:numPr>
        <w:spacing w:line="540" w:lineRule="exact"/>
        <w:rPr>
          <w:rStyle w:val="19"/>
          <w:rFonts w:hint="eastAsia"/>
          <w:spacing w:val="-4"/>
          <w:sz w:val="32"/>
          <w:szCs w:val="32"/>
        </w:rPr>
      </w:pP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（1）项目立项。民族宗教及培训专项经费项目符合委（局）中长期规划目标，项目前期调研、立项工作符合专项资金管理办法。</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（2）项目目标。民族宗教及培训专项经费绩效目标符合单位发展规划，与年度预算相匹配，编制完整；设置了绩效指标对绩效目标进行细化、量化，各项绩效指标与具体工作任务相对应。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（1）投入管理。项目支出预算编制充分、合理，年中没有进行预算调整，年度预算执行率达100%。</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（2）财务管理。项目资金能专款专用，资金管理制度健全，使用中符合相关办法的管理要求，资金支付审批完整，对项目资金设置明细科目进行单独核算，基本能对项目资金每三年进行一次审计。</w:t>
      </w:r>
      <w:r>
        <w:rPr>
          <w:rStyle w:val="19"/>
          <w:rFonts w:hint="eastAsia" w:ascii="楷体" w:hAnsi="楷体" w:eastAsia="楷体"/>
          <w:spacing w:val="-4"/>
          <w:sz w:val="32"/>
          <w:szCs w:val="32"/>
        </w:rPr>
        <w:cr/>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（3）项目实施。项目实施单位管理制度健全，严格执行合同规定，台账资料完整，符合政府采购的项目按程序实施采购，对项目实施中的监管，督促不足。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开展赴地州县市调研次数：6；信息系统维护数量：1；统筹推进民族宗教工作：100%；调研走访工作开展及时性：90%；信息化系统故障率：5%；民族宗教工作调研任务按期完成率：90%；网络信息系统故障修复处理时间：2；引导我区伊斯兰教中国化方向，确保宗教与社会主义社会相适应：不断增强；铸牢中华民族共同体意识，深入认识开展民族团结进步创建工作的重要性：不断增强；民族团结进步创建活动开展满意度：90%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坚持以习近平新时代中国特色社会主义思想为指导，深入贯彻落实习近平总书记关于民族工作、宗教工作、新疆工作的重要论述，完整准确贯彻新时代党的治疆方略，牢牢扭住社会稳定和长治久安总目标，全面贯彻执行党的民族政策，依法治理民族事务，以铸牢中华民族共同体意识为主线，加强中华民族共同体意识，广泛深入开展民族团结进步创建工作，创新“民族团结一家亲”活动，促进各民族广泛交往、全面交流、深度交融。全面贯彻落实党的宗教工作基本方针，坚持新疆伊斯兰教中国化方向，依法治理宗教事务，积极引导宗教与社会主义社会相适应，确保宗教领域和睦和谐。统筹推进各项工作，奋力开创民族团结、宗教和谐的新局面。</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受疫情影响，各类培训班、民族统计工作会议、民模赴内地参观团未如期举行，影响预算执行进度，造成指标的偏差。</w:t>
      </w:r>
    </w:p>
    <w:p>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pPr>
        <w:spacing w:line="540" w:lineRule="exact"/>
        <w:ind w:firstLine="627" w:firstLineChars="200"/>
        <w:rPr>
          <w:rStyle w:val="19"/>
          <w:rFonts w:hint="eastAsia" w:ascii="楷体" w:hAnsi="楷体" w:eastAsia="楷体"/>
          <w:spacing w:val="-4"/>
          <w:sz w:val="32"/>
          <w:szCs w:val="32"/>
        </w:rPr>
      </w:pPr>
      <w:r>
        <w:rPr>
          <w:rStyle w:val="19"/>
          <w:rFonts w:hint="eastAsia" w:ascii="楷体" w:hAnsi="楷体" w:eastAsia="楷体"/>
          <w:spacing w:val="-4"/>
          <w:sz w:val="32"/>
          <w:szCs w:val="32"/>
        </w:rPr>
        <w:t>开展全面实施预算绩效管理工作以来，进一步规范部门预算绩效管理，</w:t>
      </w:r>
      <w:r>
        <w:rPr>
          <w:rStyle w:val="19"/>
          <w:rFonts w:hint="eastAsia" w:ascii="楷体" w:hAnsi="楷体" w:eastAsia="楷体"/>
          <w:spacing w:val="-4"/>
          <w:sz w:val="32"/>
          <w:szCs w:val="32"/>
          <w:lang w:eastAsia="zh-CN"/>
        </w:rPr>
        <w:t>积极</w:t>
      </w:r>
      <w:r>
        <w:rPr>
          <w:rStyle w:val="19"/>
          <w:rFonts w:hint="eastAsia" w:ascii="楷体" w:hAnsi="楷体" w:eastAsia="楷体"/>
          <w:spacing w:val="-4"/>
          <w:sz w:val="32"/>
          <w:szCs w:val="32"/>
        </w:rPr>
        <w:t>发挥预算绩效管理的前置作用，</w:t>
      </w:r>
      <w:r>
        <w:rPr>
          <w:rStyle w:val="19"/>
          <w:rFonts w:hint="eastAsia" w:ascii="楷体" w:hAnsi="楷体" w:eastAsia="楷体"/>
          <w:spacing w:val="-4"/>
          <w:sz w:val="32"/>
          <w:szCs w:val="32"/>
        </w:rPr>
        <w:t>但距离自治区关于全面实施预算绩效管理的工作要求，还存在一些不足和差距。</w:t>
      </w:r>
      <w:r>
        <w:rPr>
          <w:rStyle w:val="19"/>
          <w:rFonts w:hint="eastAsia" w:ascii="楷体" w:hAnsi="楷体" w:eastAsia="楷体"/>
          <w:spacing w:val="-4"/>
          <w:sz w:val="32"/>
          <w:szCs w:val="32"/>
          <w:lang w:eastAsia="zh-CN"/>
        </w:rPr>
        <w:t>一</w:t>
      </w:r>
      <w:r>
        <w:rPr>
          <w:rStyle w:val="19"/>
          <w:rFonts w:hint="eastAsia" w:ascii="楷体" w:hAnsi="楷体" w:eastAsia="楷体"/>
          <w:spacing w:val="-4"/>
          <w:sz w:val="32"/>
          <w:szCs w:val="32"/>
        </w:rPr>
        <w:t>是全面实施预算绩效管理的制度建设有待加强。虽然按照要求开展了全面实施预算绩效管理的工作，但绩效管理制度有待进一步完善，绩效评价的机制不够健全。</w:t>
      </w:r>
      <w:r>
        <w:rPr>
          <w:rStyle w:val="19"/>
          <w:rFonts w:hint="eastAsia" w:ascii="楷体" w:hAnsi="楷体" w:eastAsia="楷体"/>
          <w:spacing w:val="-4"/>
          <w:sz w:val="32"/>
          <w:szCs w:val="32"/>
          <w:lang w:eastAsia="zh-CN"/>
        </w:rPr>
        <w:t>二</w:t>
      </w:r>
      <w:r>
        <w:rPr>
          <w:rStyle w:val="19"/>
          <w:rFonts w:hint="eastAsia" w:ascii="楷体" w:hAnsi="楷体" w:eastAsia="楷体"/>
          <w:spacing w:val="-4"/>
          <w:sz w:val="32"/>
          <w:szCs w:val="32"/>
        </w:rPr>
        <w:t>是科学合理设定绩效指标的水平有待提高。预期指标与实际完成指标值存在一定的偏差</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存在指标分类不准确的现象。</w:t>
      </w:r>
      <w:r>
        <w:rPr>
          <w:rStyle w:val="19"/>
          <w:rFonts w:hint="eastAsia" w:ascii="楷体" w:hAnsi="楷体" w:eastAsia="楷体"/>
          <w:spacing w:val="-4"/>
          <w:sz w:val="32"/>
          <w:szCs w:val="32"/>
          <w:lang w:val="en-US" w:eastAsia="zh-CN"/>
        </w:rPr>
        <w:t>三是绩效评价质量有待提高，绩效目标、绩效监督、绩效评价与绩效应用结合不够，紧密</w:t>
      </w:r>
      <w:r>
        <w:rPr>
          <w:rStyle w:val="19"/>
          <w:rFonts w:hint="eastAsia" w:ascii="楷体" w:hAnsi="楷体" w:eastAsia="楷体"/>
          <w:spacing w:val="-4"/>
          <w:sz w:val="32"/>
          <w:szCs w:val="32"/>
        </w:rPr>
        <w:t>造成资金支出结构不够合理、绩效目标不够明确，导致资金使用效益发挥不够。</w:t>
      </w:r>
    </w:p>
    <w:p>
      <w:pPr>
        <w:spacing w:line="540" w:lineRule="exact"/>
        <w:ind w:firstLine="627" w:firstLineChars="200"/>
        <w:rPr>
          <w:rStyle w:val="19"/>
          <w:rFonts w:hint="eastAsia" w:ascii="楷体" w:hAnsi="楷体" w:eastAsia="楷体"/>
          <w:spacing w:val="-4"/>
          <w:sz w:val="32"/>
          <w:szCs w:val="32"/>
          <w:lang w:val="en-US" w:eastAsia="zh-CN"/>
        </w:rPr>
      </w:pPr>
      <w:r>
        <w:rPr>
          <w:rStyle w:val="19"/>
          <w:rFonts w:hint="eastAsia" w:ascii="楷体" w:hAnsi="楷体" w:eastAsia="楷体"/>
          <w:spacing w:val="-4"/>
          <w:sz w:val="32"/>
          <w:szCs w:val="32"/>
        </w:rPr>
        <w:t>存在的问题</w:t>
      </w:r>
      <w:r>
        <w:rPr>
          <w:rStyle w:val="19"/>
          <w:rFonts w:hint="eastAsia" w:ascii="楷体" w:hAnsi="楷体" w:eastAsia="楷体"/>
          <w:spacing w:val="-4"/>
          <w:sz w:val="32"/>
          <w:szCs w:val="32"/>
          <w:lang w:eastAsia="zh-CN"/>
        </w:rPr>
        <w:t>的主要原因：一是</w:t>
      </w:r>
      <w:r>
        <w:rPr>
          <w:rStyle w:val="19"/>
          <w:rFonts w:hint="eastAsia" w:ascii="楷体" w:hAnsi="楷体" w:eastAsia="楷体"/>
          <w:spacing w:val="-4"/>
          <w:sz w:val="32"/>
          <w:szCs w:val="32"/>
        </w:rPr>
        <w:t>预算绩效管理水平仍有欠缺。在2022年预算绩效管理工作中，存在“重投入轻管理、重支出轻绩效”的情况，</w:t>
      </w:r>
      <w:r>
        <w:rPr>
          <w:rStyle w:val="19"/>
          <w:rFonts w:hint="eastAsia" w:ascii="楷体" w:hAnsi="楷体" w:eastAsia="楷体"/>
          <w:spacing w:val="-4"/>
          <w:sz w:val="32"/>
          <w:szCs w:val="32"/>
          <w:lang w:eastAsia="zh-CN"/>
        </w:rPr>
        <w:t>绩效管理</w:t>
      </w:r>
      <w:r>
        <w:rPr>
          <w:rStyle w:val="19"/>
          <w:rFonts w:hint="eastAsia" w:ascii="楷体" w:hAnsi="楷体" w:eastAsia="楷体"/>
          <w:spacing w:val="-4"/>
          <w:sz w:val="32"/>
          <w:szCs w:val="32"/>
        </w:rPr>
        <w:t>专业人手不足、绩效管理水平欠缺的情况。各处室及所属事业单位对绩效评价工作重视度和质量有待进一步提升</w:t>
      </w:r>
      <w:r>
        <w:rPr>
          <w:rStyle w:val="19"/>
          <w:rFonts w:hint="eastAsia" w:ascii="楷体" w:hAnsi="楷体" w:eastAsia="楷体"/>
          <w:spacing w:val="-4"/>
          <w:sz w:val="32"/>
          <w:szCs w:val="32"/>
          <w:lang w:eastAsia="zh-CN"/>
        </w:rPr>
        <w:t>。二是</w:t>
      </w:r>
      <w:r>
        <w:rPr>
          <w:rStyle w:val="19"/>
          <w:rFonts w:hint="eastAsia" w:ascii="楷体" w:hAnsi="楷体" w:eastAsia="楷体"/>
          <w:spacing w:val="-4"/>
          <w:sz w:val="32"/>
          <w:szCs w:val="32"/>
        </w:rPr>
        <w:t>项目支出进度达不到序时支出进度的要求，在预算执行过程中仍存在专项资金使用与管理偏差滞后因素，绩效监控缺乏责任约束机制。</w:t>
      </w:r>
    </w:p>
    <w:p>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pPr>
        <w:spacing w:line="540" w:lineRule="exact"/>
        <w:ind w:firstLine="627" w:firstLineChars="200"/>
        <w:rPr>
          <w:rStyle w:val="19"/>
          <w:rFonts w:hint="eastAsia" w:ascii="楷体" w:hAnsi="楷体" w:eastAsia="楷体"/>
          <w:spacing w:val="-4"/>
          <w:sz w:val="32"/>
          <w:szCs w:val="32"/>
        </w:rPr>
      </w:pPr>
      <w:r>
        <w:rPr>
          <w:rStyle w:val="19"/>
          <w:rFonts w:hint="eastAsia" w:ascii="楷体" w:hAnsi="楷体" w:eastAsia="楷体"/>
          <w:spacing w:val="-4"/>
          <w:sz w:val="32"/>
          <w:szCs w:val="32"/>
        </w:rPr>
        <w:t>加强预算绩效相关培训，提高相关人员业务能力。加强对各单位绩效评价工作的指导，使预算编制更加符合绩效评价相关要求，进一步发挥各处室及所属事业单位的作用，搞好部门间工作配合，继续开展不间断的督导指导服务，推进工作落实。</w:t>
      </w:r>
    </w:p>
    <w:p>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pPr>
        <w:spacing w:line="540" w:lineRule="exact"/>
        <w:ind w:firstLine="627" w:firstLineChars="200"/>
        <w:rPr>
          <w:rStyle w:val="19"/>
          <w:rFonts w:ascii="仿宋" w:hAnsi="仿宋" w:eastAsia="仿宋"/>
          <w:b w:val="0"/>
          <w:spacing w:val="-4"/>
          <w:sz w:val="32"/>
          <w:szCs w:val="32"/>
        </w:rPr>
      </w:pPr>
      <w:r>
        <w:rPr>
          <w:rStyle w:val="19"/>
          <w:rFonts w:hint="eastAsia" w:ascii="楷体" w:hAnsi="楷体" w:eastAsia="楷体"/>
          <w:spacing w:val="-4"/>
          <w:sz w:val="32"/>
          <w:szCs w:val="32"/>
        </w:rPr>
        <w:t>无</w:t>
      </w:r>
      <w:bookmarkStart w:id="0" w:name="_GoBack"/>
      <w:bookmarkEnd w:id="0"/>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E9FB3"/>
    <w:multiLevelType w:val="singleLevel"/>
    <w:tmpl w:val="713E9FB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5F443DF"/>
    <w:rsid w:val="0CB44F22"/>
    <w:rsid w:val="0E601E83"/>
    <w:rsid w:val="10C0598D"/>
    <w:rsid w:val="1B062141"/>
    <w:rsid w:val="2CBB288A"/>
    <w:rsid w:val="35FA5CE5"/>
    <w:rsid w:val="393A2815"/>
    <w:rsid w:val="41137C21"/>
    <w:rsid w:val="4846449E"/>
    <w:rsid w:val="4D2606A1"/>
    <w:rsid w:val="4E3E23D5"/>
    <w:rsid w:val="4F6A16DA"/>
    <w:rsid w:val="56D24AE4"/>
    <w:rsid w:val="627627D1"/>
    <w:rsid w:val="6ED54496"/>
    <w:rsid w:val="73383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7"/>
    <w:semiHidden/>
    <w:unhideWhenUsed/>
    <w:qFormat/>
    <w:uiPriority w:val="99"/>
    <w:rPr>
      <w:sz w:val="18"/>
      <w:szCs w:val="18"/>
    </w:rPr>
  </w:style>
  <w:style w:type="paragraph" w:styleId="12">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5">
    <w:name w:val="footnote text"/>
    <w:basedOn w:val="1"/>
    <w:qFormat/>
    <w:uiPriority w:val="0"/>
    <w:pPr>
      <w:snapToGrid w:val="0"/>
      <w:jc w:val="left"/>
    </w:pPr>
    <w:rPr>
      <w:rFonts w:ascii="Calibri" w:hAnsi="Calibri"/>
      <w:sz w:val="18"/>
      <w:szCs w:val="18"/>
    </w:rPr>
  </w:style>
  <w:style w:type="paragraph" w:styleId="16">
    <w:name w:val="Normal (Web)"/>
    <w:basedOn w:val="1"/>
    <w:unhideWhenUsed/>
    <w:uiPriority w:val="99"/>
    <w:pPr>
      <w:spacing w:before="100" w:beforeAutospacing="1" w:after="100" w:afterAutospacing="1"/>
      <w:ind w:left="0" w:right="0"/>
      <w:jc w:val="left"/>
    </w:pPr>
    <w:rPr>
      <w:kern w:val="0"/>
      <w:sz w:val="24"/>
      <w:lang w:val="en-US" w:eastAsia="zh-CN" w:bidi="ar"/>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字符"/>
    <w:basedOn w:val="18"/>
    <w:link w:val="2"/>
    <w:qFormat/>
    <w:uiPriority w:val="9"/>
    <w:rPr>
      <w:rFonts w:asciiTheme="majorHAnsi" w:hAnsiTheme="majorHAnsi" w:eastAsiaTheme="majorEastAsia"/>
      <w:b/>
      <w:bCs/>
      <w:kern w:val="32"/>
      <w:sz w:val="32"/>
      <w:szCs w:val="32"/>
    </w:rPr>
  </w:style>
  <w:style w:type="character" w:customStyle="1" w:styleId="23">
    <w:name w:val="标题 2 字符"/>
    <w:basedOn w:val="18"/>
    <w:link w:val="3"/>
    <w:semiHidden/>
    <w:qFormat/>
    <w:uiPriority w:val="9"/>
    <w:rPr>
      <w:rFonts w:asciiTheme="majorHAnsi" w:hAnsiTheme="majorHAnsi" w:eastAsiaTheme="majorEastAsia"/>
      <w:b/>
      <w:bCs/>
      <w:i/>
      <w:iCs/>
      <w:sz w:val="28"/>
      <w:szCs w:val="28"/>
    </w:rPr>
  </w:style>
  <w:style w:type="character" w:customStyle="1" w:styleId="24">
    <w:name w:val="标题 3 字符"/>
    <w:basedOn w:val="18"/>
    <w:link w:val="4"/>
    <w:semiHidden/>
    <w:qFormat/>
    <w:uiPriority w:val="9"/>
    <w:rPr>
      <w:rFonts w:asciiTheme="majorHAnsi" w:hAnsiTheme="majorHAnsi" w:eastAsiaTheme="majorEastAsia"/>
      <w:b/>
      <w:bCs/>
      <w:sz w:val="26"/>
      <w:szCs w:val="26"/>
    </w:rPr>
  </w:style>
  <w:style w:type="character" w:customStyle="1" w:styleId="25">
    <w:name w:val="标题 4 字符"/>
    <w:basedOn w:val="18"/>
    <w:link w:val="5"/>
    <w:qFormat/>
    <w:uiPriority w:val="9"/>
    <w:rPr>
      <w:b/>
      <w:bCs/>
      <w:sz w:val="28"/>
      <w:szCs w:val="28"/>
    </w:rPr>
  </w:style>
  <w:style w:type="character" w:customStyle="1" w:styleId="26">
    <w:name w:val="标题 5 字符"/>
    <w:basedOn w:val="18"/>
    <w:link w:val="6"/>
    <w:semiHidden/>
    <w:qFormat/>
    <w:uiPriority w:val="9"/>
    <w:rPr>
      <w:b/>
      <w:bCs/>
      <w:i/>
      <w:iCs/>
      <w:sz w:val="26"/>
      <w:szCs w:val="26"/>
    </w:rPr>
  </w:style>
  <w:style w:type="character" w:customStyle="1" w:styleId="27">
    <w:name w:val="标题 6 字符"/>
    <w:basedOn w:val="18"/>
    <w:link w:val="7"/>
    <w:semiHidden/>
    <w:qFormat/>
    <w:uiPriority w:val="9"/>
    <w:rPr>
      <w:b/>
      <w:bCs/>
    </w:rPr>
  </w:style>
  <w:style w:type="character" w:customStyle="1" w:styleId="28">
    <w:name w:val="标题 7 字符"/>
    <w:basedOn w:val="18"/>
    <w:link w:val="8"/>
    <w:semiHidden/>
    <w:qFormat/>
    <w:uiPriority w:val="9"/>
    <w:rPr>
      <w:sz w:val="24"/>
      <w:szCs w:val="24"/>
    </w:rPr>
  </w:style>
  <w:style w:type="character" w:customStyle="1" w:styleId="29">
    <w:name w:val="标题 8 字符"/>
    <w:basedOn w:val="18"/>
    <w:link w:val="9"/>
    <w:semiHidden/>
    <w:qFormat/>
    <w:uiPriority w:val="9"/>
    <w:rPr>
      <w:i/>
      <w:iCs/>
      <w:sz w:val="24"/>
      <w:szCs w:val="24"/>
    </w:rPr>
  </w:style>
  <w:style w:type="character" w:customStyle="1" w:styleId="30">
    <w:name w:val="标题 9 字符"/>
    <w:basedOn w:val="18"/>
    <w:link w:val="10"/>
    <w:semiHidden/>
    <w:qFormat/>
    <w:uiPriority w:val="9"/>
    <w:rPr>
      <w:rFonts w:asciiTheme="majorHAnsi" w:hAnsiTheme="majorHAnsi" w:eastAsiaTheme="majorEastAsia"/>
    </w:rPr>
  </w:style>
  <w:style w:type="character" w:customStyle="1" w:styleId="31">
    <w:name w:val="标题 字符"/>
    <w:basedOn w:val="18"/>
    <w:link w:val="17"/>
    <w:qFormat/>
    <w:uiPriority w:val="10"/>
    <w:rPr>
      <w:rFonts w:asciiTheme="majorHAnsi" w:hAnsiTheme="majorHAnsi" w:eastAsiaTheme="majorEastAsia"/>
      <w:b/>
      <w:bCs/>
      <w:kern w:val="28"/>
      <w:sz w:val="32"/>
      <w:szCs w:val="32"/>
    </w:rPr>
  </w:style>
  <w:style w:type="character" w:customStyle="1" w:styleId="32">
    <w:name w:val="副标题 字符"/>
    <w:basedOn w:val="18"/>
    <w:link w:val="14"/>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8"/>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8"/>
    <w:link w:val="37"/>
    <w:qFormat/>
    <w:uiPriority w:val="30"/>
    <w:rPr>
      <w:b/>
      <w:i/>
      <w:sz w:val="24"/>
    </w:rPr>
  </w:style>
  <w:style w:type="character" w:customStyle="1" w:styleId="3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字符"/>
    <w:basedOn w:val="18"/>
    <w:link w:val="13"/>
    <w:qFormat/>
    <w:uiPriority w:val="99"/>
    <w:rPr>
      <w:rFonts w:ascii="Calibri" w:hAnsi="Calibri" w:eastAsia="宋体"/>
      <w:kern w:val="2"/>
      <w:sz w:val="18"/>
      <w:szCs w:val="18"/>
    </w:rPr>
  </w:style>
  <w:style w:type="character" w:customStyle="1" w:styleId="46">
    <w:name w:val="页脚 字符"/>
    <w:basedOn w:val="18"/>
    <w:link w:val="12"/>
    <w:uiPriority w:val="99"/>
    <w:rPr>
      <w:rFonts w:ascii="Calibri" w:hAnsi="Calibri" w:eastAsia="宋体"/>
      <w:kern w:val="2"/>
      <w:sz w:val="18"/>
      <w:szCs w:val="18"/>
    </w:rPr>
  </w:style>
  <w:style w:type="character" w:customStyle="1" w:styleId="47">
    <w:name w:val="批注框文本 字符"/>
    <w:basedOn w:val="18"/>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2</TotalTime>
  <ScaleCrop>false</ScaleCrop>
  <LinksUpToDate>false</LinksUpToDate>
  <CharactersWithSpaces>760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2023-08-29T07:49:20Z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