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bidi w:val="0"/>
        <w:adjustRightInd/>
        <w:snapToGrid/>
        <w:spacing w:line="240" w:lineRule="auto"/>
        <w:textAlignment w:val="auto"/>
        <w:rPr>
          <w:rFonts w:ascii="黑体" w:hAnsi="黑体" w:eastAsia="黑体"/>
          <w:color w:val="auto"/>
          <w:sz w:val="32"/>
          <w:szCs w:val="32"/>
          <w:highlight w:val="none"/>
        </w:rPr>
      </w:pP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rPr>
      </w:pP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lang w:val="en-US" w:eastAsia="zh-CN"/>
        </w:rPr>
      </w:pPr>
      <w:r>
        <w:rPr>
          <w:rFonts w:hint="eastAsia" w:ascii="方正小标宋_GBK" w:hAnsi="宋体" w:eastAsia="方正小标宋_GBK"/>
          <w:color w:val="auto"/>
          <w:sz w:val="44"/>
          <w:szCs w:val="44"/>
          <w:highlight w:val="none"/>
          <w:lang w:val="en-US" w:eastAsia="zh-CN"/>
        </w:rPr>
        <w:t xml:space="preserve">新疆维吾尔自治区伊斯兰教协会 </w:t>
      </w: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rPr>
      </w:pPr>
      <w:r>
        <w:rPr>
          <w:rFonts w:hint="eastAsia" w:ascii="方正小标宋_GBK" w:hAnsi="宋体" w:eastAsia="方正小标宋_GBK"/>
          <w:color w:val="auto"/>
          <w:sz w:val="44"/>
          <w:szCs w:val="44"/>
          <w:highlight w:val="none"/>
          <w:lang w:eastAsia="zh-CN"/>
        </w:rPr>
        <w:t xml:space="preserve"> 2023年度</w:t>
      </w:r>
      <w:r>
        <w:rPr>
          <w:rFonts w:hint="eastAsia" w:ascii="方正小标宋_GBK" w:hAnsi="宋体" w:eastAsia="方正小标宋_GBK"/>
          <w:color w:val="auto"/>
          <w:sz w:val="44"/>
          <w:szCs w:val="44"/>
          <w:highlight w:val="none"/>
        </w:rPr>
        <w:t>部门决算</w:t>
      </w: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rPr>
      </w:pPr>
      <w:r>
        <w:rPr>
          <w:rFonts w:hint="eastAsia" w:ascii="方正小标宋_GBK" w:hAnsi="宋体" w:eastAsia="方正小标宋_GBK"/>
          <w:color w:val="auto"/>
          <w:sz w:val="44"/>
          <w:szCs w:val="44"/>
          <w:highlight w:val="none"/>
        </w:rPr>
        <w:t>公开说明</w:t>
      </w:r>
    </w:p>
    <w:p>
      <w:pPr>
        <w:rPr>
          <w:rFonts w:hint="eastAsia" w:ascii="方正小标宋_GBK" w:hAnsi="宋体" w:eastAsia="方正小标宋_GBK"/>
          <w:color w:val="auto"/>
          <w:sz w:val="44"/>
          <w:szCs w:val="44"/>
          <w:highlight w:val="none"/>
        </w:rPr>
      </w:pPr>
      <w:r>
        <w:rPr>
          <w:rFonts w:hint="eastAsia" w:ascii="方正小标宋_GBK" w:hAnsi="宋体" w:eastAsia="方正小标宋_GBK"/>
          <w:color w:val="auto"/>
          <w:sz w:val="44"/>
          <w:szCs w:val="44"/>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ind w:left="0" w:leftChars="0"/>
        <w:jc w:val="center"/>
        <w:textAlignment w:val="auto"/>
        <w:rPr>
          <w:rFonts w:hint="eastAsia" w:ascii="仿宋_GB2312" w:hAnsi="仿宋_GB2312" w:eastAsia="仿宋_GB2312" w:cs="仿宋_GB2312"/>
          <w:b w:val="0"/>
          <w:bCs/>
          <w:color w:val="auto"/>
          <w:kern w:val="0"/>
          <w:sz w:val="32"/>
          <w:szCs w:val="32"/>
          <w:highlight w:val="none"/>
        </w:rPr>
      </w:pPr>
      <w:r>
        <w:rPr>
          <w:rFonts w:hint="eastAsia" w:ascii="仿宋_GB2312" w:hAnsi="仿宋_GB2312" w:eastAsia="仿宋_GB2312" w:cs="仿宋_GB2312"/>
          <w:b/>
          <w:bCs w:val="0"/>
          <w:color w:val="auto"/>
          <w:kern w:val="0"/>
          <w:sz w:val="36"/>
          <w:szCs w:val="36"/>
          <w:highlight w:val="none"/>
        </w:rPr>
        <w:t>目  录</w:t>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TOC \o "1-3" \n  \h \u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_Toc32314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 xml:space="preserve">第一部分 </w:t>
      </w:r>
      <w:r>
        <w:rPr>
          <w:rFonts w:hint="eastAsia" w:ascii="仿宋_GB2312" w:hAnsi="仿宋_GB2312" w:eastAsia="仿宋_GB2312" w:cs="仿宋_GB2312"/>
          <w:b/>
          <w:bCs/>
          <w:color w:val="auto"/>
          <w:sz w:val="32"/>
          <w:szCs w:val="32"/>
          <w:highlight w:val="none"/>
          <w:lang w:eastAsia="zh-CN"/>
        </w:rPr>
        <w:t>单位</w:t>
      </w:r>
      <w:r>
        <w:rPr>
          <w:rFonts w:hint="eastAsia" w:ascii="仿宋_GB2312" w:hAnsi="仿宋_GB2312" w:eastAsia="仿宋_GB2312" w:cs="仿宋_GB2312"/>
          <w:b/>
          <w:bCs/>
          <w:color w:val="auto"/>
          <w:sz w:val="32"/>
          <w:szCs w:val="32"/>
          <w:highlight w:val="none"/>
        </w:rPr>
        <w:t>概况</w:t>
      </w:r>
      <w:r>
        <w:rPr>
          <w:rFonts w:hint="eastAsia" w:ascii="仿宋_GB2312" w:hAnsi="仿宋_GB2312" w:eastAsia="仿宋_GB2312" w:cs="仿宋_GB2312"/>
          <w:b/>
          <w:bCs/>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_Toc30567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一、主要职能</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_Toc2151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二、机构设置</w:t>
      </w:r>
      <w:r>
        <w:rPr>
          <w:rFonts w:hint="eastAsia" w:ascii="仿宋_GB2312" w:hAnsi="仿宋_GB2312" w:eastAsia="仿宋_GB2312" w:cs="仿宋_GB2312"/>
          <w:bCs/>
          <w:color w:val="auto"/>
          <w:kern w:val="0"/>
          <w:sz w:val="32"/>
          <w:szCs w:val="32"/>
          <w:highlight w:val="none"/>
          <w:lang w:eastAsia="zh-CN"/>
        </w:rPr>
        <w:t>及人员</w:t>
      </w:r>
      <w:r>
        <w:rPr>
          <w:rFonts w:hint="eastAsia" w:ascii="仿宋_GB2312" w:hAnsi="仿宋_GB2312" w:eastAsia="仿宋_GB2312" w:cs="仿宋_GB2312"/>
          <w:bCs/>
          <w:color w:val="auto"/>
          <w:kern w:val="0"/>
          <w:sz w:val="32"/>
          <w:szCs w:val="32"/>
          <w:highlight w:val="none"/>
        </w:rPr>
        <w:t>情况</w:t>
      </w:r>
      <w:r>
        <w:rPr>
          <w:rFonts w:hint="eastAsia" w:ascii="仿宋_GB2312" w:hAnsi="仿宋_GB2312" w:eastAsia="仿宋_GB2312" w:cs="仿宋_GB2312"/>
          <w:color w:val="auto"/>
          <w:sz w:val="32"/>
          <w:szCs w:val="32"/>
          <w:highlight w:val="none"/>
        </w:rPr>
        <w:fldChar w:fldCharType="end"/>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_Toc29374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第二部分 部门决算情况说明</w:t>
      </w:r>
      <w:r>
        <w:rPr>
          <w:rFonts w:hint="eastAsia" w:ascii="仿宋_GB2312" w:hAnsi="仿宋_GB2312" w:eastAsia="仿宋_GB2312" w:cs="仿宋_GB2312"/>
          <w:b/>
          <w:bCs/>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_Toc25314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一、收入支出决算总体情况说明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_Toc12142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二、</w:t>
      </w:r>
      <w:r>
        <w:rPr>
          <w:rFonts w:hint="eastAsia" w:ascii="仿宋_GB2312" w:hAnsi="仿宋_GB2312" w:eastAsia="仿宋_GB2312" w:cs="仿宋_GB2312"/>
          <w:bCs/>
          <w:color w:val="auto"/>
          <w:kern w:val="0"/>
          <w:sz w:val="32"/>
          <w:szCs w:val="32"/>
          <w:highlight w:val="none"/>
        </w:rPr>
        <w:t>收入</w:t>
      </w:r>
      <w:r>
        <w:rPr>
          <w:rFonts w:hint="eastAsia" w:ascii="仿宋_GB2312" w:hAnsi="仿宋_GB2312" w:eastAsia="仿宋_GB2312" w:cs="仿宋_GB2312"/>
          <w:bCs/>
          <w:color w:val="auto"/>
          <w:kern w:val="0"/>
          <w:sz w:val="32"/>
          <w:szCs w:val="32"/>
          <w:highlight w:val="none"/>
          <w:lang w:eastAsia="zh-CN"/>
        </w:rPr>
        <w:t>决算</w:t>
      </w:r>
      <w:r>
        <w:rPr>
          <w:rFonts w:hint="eastAsia" w:ascii="仿宋_GB2312" w:hAnsi="仿宋_GB2312" w:eastAsia="仿宋_GB2312" w:cs="仿宋_GB2312"/>
          <w:bCs/>
          <w:color w:val="auto"/>
          <w:kern w:val="0"/>
          <w:sz w:val="32"/>
          <w:szCs w:val="32"/>
          <w:highlight w:val="none"/>
        </w:rPr>
        <w:t>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_Toc13201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三、支出决算情况说明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_Toc26564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四、财政拨款收入支出决算总体情况说明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_Toc20360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五、一般公共预算财政拨款支出决算情况说明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_Toc30870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六、一般公共预算财政拨款基本支出决算情况说明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_Toc21518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七</w:t>
      </w:r>
      <w:r>
        <w:rPr>
          <w:rFonts w:hint="eastAsia" w:ascii="仿宋_GB2312" w:hAnsi="仿宋_GB2312" w:eastAsia="仿宋_GB2312" w:cs="仿宋_GB2312"/>
          <w:bCs/>
          <w:color w:val="auto"/>
          <w:kern w:val="0"/>
          <w:sz w:val="32"/>
          <w:szCs w:val="32"/>
          <w:highlight w:val="none"/>
        </w:rPr>
        <w:t>、</w:t>
      </w:r>
      <w:r>
        <w:rPr>
          <w:rFonts w:hint="eastAsia" w:ascii="仿宋_GB2312" w:hAnsi="仿宋_GB2312" w:eastAsia="仿宋_GB2312" w:cs="仿宋_GB2312"/>
          <w:bCs/>
          <w:color w:val="auto"/>
          <w:kern w:val="0"/>
          <w:sz w:val="32"/>
          <w:szCs w:val="32"/>
          <w:highlight w:val="none"/>
          <w:lang w:eastAsia="zh-CN"/>
        </w:rPr>
        <w:t>财政拨款</w:t>
      </w:r>
      <w:r>
        <w:rPr>
          <w:rFonts w:hint="eastAsia" w:ascii="仿宋_GB2312" w:hAnsi="仿宋_GB2312" w:eastAsia="仿宋_GB2312" w:cs="仿宋_GB2312"/>
          <w:bCs/>
          <w:color w:val="auto"/>
          <w:kern w:val="0"/>
          <w:sz w:val="32"/>
          <w:szCs w:val="32"/>
          <w:highlight w:val="none"/>
        </w:rPr>
        <w:t>“三公”经费支出</w:t>
      </w:r>
      <w:r>
        <w:rPr>
          <w:rFonts w:hint="eastAsia" w:ascii="仿宋_GB2312" w:hAnsi="仿宋_GB2312" w:eastAsia="仿宋_GB2312" w:cs="仿宋_GB2312"/>
          <w:bCs/>
          <w:color w:val="auto"/>
          <w:kern w:val="0"/>
          <w:sz w:val="32"/>
          <w:szCs w:val="32"/>
          <w:highlight w:val="none"/>
          <w:lang w:eastAsia="zh-CN"/>
        </w:rPr>
        <w:t>决算</w:t>
      </w:r>
      <w:r>
        <w:rPr>
          <w:rFonts w:hint="eastAsia" w:ascii="仿宋_GB2312" w:hAnsi="仿宋_GB2312" w:eastAsia="仿宋_GB2312" w:cs="仿宋_GB2312"/>
          <w:bCs/>
          <w:color w:val="auto"/>
          <w:kern w:val="0"/>
          <w:sz w:val="32"/>
          <w:szCs w:val="32"/>
          <w:highlight w:val="none"/>
        </w:rPr>
        <w:t>情况</w:t>
      </w:r>
      <w:r>
        <w:rPr>
          <w:rFonts w:hint="eastAsia" w:ascii="仿宋_GB2312" w:hAnsi="仿宋_GB2312" w:eastAsia="仿宋_GB2312" w:cs="仿宋_GB2312"/>
          <w:bCs/>
          <w:color w:val="auto"/>
          <w:kern w:val="0"/>
          <w:sz w:val="32"/>
          <w:szCs w:val="32"/>
          <w:highlight w:val="none"/>
          <w:lang w:eastAsia="zh-CN"/>
        </w:rPr>
        <w:t>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_Toc5810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val="en-US" w:eastAsia="zh-CN"/>
        </w:rPr>
        <w:t>八、</w:t>
      </w:r>
      <w:r>
        <w:rPr>
          <w:rFonts w:hint="eastAsia" w:ascii="仿宋_GB2312" w:hAnsi="仿宋_GB2312" w:eastAsia="仿宋_GB2312" w:cs="仿宋_GB2312"/>
          <w:bCs/>
          <w:color w:val="auto"/>
          <w:kern w:val="0"/>
          <w:sz w:val="32"/>
          <w:szCs w:val="32"/>
          <w:highlight w:val="none"/>
          <w:lang w:eastAsia="zh-CN"/>
        </w:rPr>
        <w:t>政府性基金预算财政拨款收入支出决算情况说明</w:t>
      </w:r>
      <w:r>
        <w:rPr>
          <w:rFonts w:hint="eastAsia" w:ascii="仿宋_GB2312" w:hAnsi="仿宋_GB2312" w:eastAsia="仿宋_GB2312" w:cs="仿宋_GB2312"/>
          <w:color w:val="auto"/>
          <w:sz w:val="32"/>
          <w:szCs w:val="32"/>
          <w:highlight w:val="none"/>
        </w:rPr>
        <w:fldChar w:fldCharType="end"/>
      </w:r>
    </w:p>
    <w:p>
      <w:pPr>
        <w:rPr>
          <w:rFonts w:hint="eastAsia"/>
          <w:color w:val="auto"/>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_Toc5810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val="en-US" w:eastAsia="zh-CN"/>
        </w:rPr>
        <w:t>九</w:t>
      </w:r>
      <w:r>
        <w:rPr>
          <w:rFonts w:hint="eastAsia" w:ascii="仿宋_GB2312" w:hAnsi="仿宋_GB2312" w:eastAsia="仿宋_GB2312" w:cs="仿宋_GB2312"/>
          <w:bCs/>
          <w:color w:val="auto"/>
          <w:kern w:val="0"/>
          <w:sz w:val="32"/>
          <w:szCs w:val="32"/>
          <w:highlight w:val="none"/>
          <w:lang w:eastAsia="zh-CN"/>
        </w:rPr>
        <w:t>、国有资本经营预算财政拨款收入支出决算情况说明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_Toc1235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十</w:t>
      </w:r>
      <w:r>
        <w:rPr>
          <w:rFonts w:hint="eastAsia" w:ascii="仿宋_GB2312" w:hAnsi="仿宋_GB2312" w:eastAsia="仿宋_GB2312" w:cs="仿宋_GB2312"/>
          <w:bCs/>
          <w:color w:val="auto"/>
          <w:kern w:val="0"/>
          <w:sz w:val="32"/>
          <w:szCs w:val="32"/>
          <w:highlight w:val="none"/>
        </w:rPr>
        <w:t>、其他重要事项的情况</w:t>
      </w:r>
      <w:r>
        <w:rPr>
          <w:rFonts w:hint="eastAsia" w:ascii="仿宋_GB2312" w:hAnsi="仿宋_GB2312" w:eastAsia="仿宋_GB2312" w:cs="仿宋_GB2312"/>
          <w:bCs/>
          <w:color w:val="auto"/>
          <w:kern w:val="0"/>
          <w:sz w:val="32"/>
          <w:szCs w:val="32"/>
          <w:highlight w:val="none"/>
          <w:lang w:eastAsia="zh-CN"/>
        </w:rPr>
        <w:t>说明</w:t>
      </w:r>
      <w:r>
        <w:rPr>
          <w:rFonts w:hint="eastAsia" w:ascii="仿宋_GB2312" w:hAnsi="仿宋_GB2312" w:eastAsia="仿宋_GB2312" w:cs="仿宋_GB2312"/>
          <w:color w:val="auto"/>
          <w:sz w:val="32"/>
          <w:szCs w:val="32"/>
          <w:highlight w:val="none"/>
        </w:rPr>
        <w:fldChar w:fldCharType="end"/>
      </w:r>
    </w:p>
    <w:p>
      <w:pPr>
        <w:pStyle w:val="4"/>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_Toc14519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（一）</w:t>
      </w:r>
      <w:r>
        <w:rPr>
          <w:rFonts w:hint="eastAsia" w:ascii="仿宋_GB2312" w:hAnsi="仿宋_GB2312" w:eastAsia="仿宋_GB2312" w:cs="仿宋_GB2312"/>
          <w:color w:val="auto"/>
          <w:sz w:val="32"/>
          <w:szCs w:val="32"/>
          <w:highlight w:val="none"/>
        </w:rPr>
        <w:t>机关运行经费支出情况</w:t>
      </w:r>
      <w:r>
        <w:rPr>
          <w:rFonts w:hint="eastAsia" w:ascii="仿宋_GB2312" w:hAnsi="仿宋_GB2312" w:eastAsia="仿宋_GB2312" w:cs="仿宋_GB2312"/>
          <w:color w:val="auto"/>
          <w:sz w:val="32"/>
          <w:szCs w:val="32"/>
          <w:highlight w:val="none"/>
        </w:rPr>
        <w:fldChar w:fldCharType="end"/>
      </w:r>
    </w:p>
    <w:p>
      <w:pPr>
        <w:pStyle w:val="4"/>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_Toc227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（二）政府采购情况</w:t>
      </w:r>
      <w:r>
        <w:rPr>
          <w:rFonts w:hint="eastAsia" w:ascii="仿宋_GB2312" w:hAnsi="仿宋_GB2312" w:eastAsia="仿宋_GB2312" w:cs="仿宋_GB2312"/>
          <w:color w:val="auto"/>
          <w:sz w:val="32"/>
          <w:szCs w:val="32"/>
          <w:highlight w:val="none"/>
        </w:rPr>
        <w:fldChar w:fldCharType="end"/>
      </w:r>
    </w:p>
    <w:p>
      <w:pPr>
        <w:pStyle w:val="4"/>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_Toc8391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（三）国有资产占用情况说明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_Toc11283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十</w:t>
      </w:r>
      <w:r>
        <w:rPr>
          <w:rFonts w:hint="eastAsia" w:ascii="仿宋_GB2312" w:hAnsi="仿宋_GB2312" w:eastAsia="仿宋_GB2312" w:cs="仿宋_GB2312"/>
          <w:bCs/>
          <w:color w:val="auto"/>
          <w:kern w:val="0"/>
          <w:sz w:val="32"/>
          <w:szCs w:val="32"/>
          <w:highlight w:val="none"/>
          <w:lang w:val="en-US" w:eastAsia="zh-CN"/>
        </w:rPr>
        <w:t>一</w:t>
      </w:r>
      <w:r>
        <w:rPr>
          <w:rFonts w:hint="eastAsia" w:ascii="仿宋_GB2312" w:hAnsi="仿宋_GB2312" w:eastAsia="仿宋_GB2312" w:cs="仿宋_GB2312"/>
          <w:bCs/>
          <w:color w:val="auto"/>
          <w:kern w:val="0"/>
          <w:sz w:val="32"/>
          <w:szCs w:val="32"/>
          <w:highlight w:val="none"/>
          <w:lang w:eastAsia="zh-CN"/>
        </w:rPr>
        <w:t>、预算绩效的情况说明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十二、其他需说明的事项</w:t>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_Toc3250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第三部分 专业名词解释</w:t>
      </w:r>
      <w:r>
        <w:rPr>
          <w:rFonts w:hint="eastAsia" w:ascii="仿宋_GB2312" w:hAnsi="仿宋_GB2312" w:eastAsia="仿宋_GB2312" w:cs="仿宋_GB2312"/>
          <w:b/>
          <w:bCs/>
          <w:color w:val="auto"/>
          <w:sz w:val="32"/>
          <w:szCs w:val="32"/>
          <w:highlight w:val="none"/>
        </w:rPr>
        <w:fldChar w:fldCharType="end"/>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_Toc22784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第四部分 部门决算报表（见附表）</w:t>
      </w:r>
      <w:r>
        <w:rPr>
          <w:rFonts w:hint="eastAsia" w:ascii="仿宋_GB2312" w:hAnsi="仿宋_GB2312" w:eastAsia="仿宋_GB2312" w:cs="仿宋_GB2312"/>
          <w:b/>
          <w:bCs/>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_Toc2183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一、《收入支出决算总表》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_Toc24532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二、《收入决算表》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_Toc32434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三、《支出决算表》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_Toc28786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四、《财政拨款收入支出决算总表》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_Toc14869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五、《一般公共预算财政拨款支出决算表》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_Toc8884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六、《一般公共预算财政拨款基本支出决算表》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_Toc29106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七、《财政拨款“三公”经费支出决算表》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fldChar w:fldCharType="begin"/>
      </w:r>
      <w:r>
        <w:rPr>
          <w:rFonts w:hint="eastAsia" w:ascii="仿宋_GB2312" w:hAnsi="仿宋_GB2312" w:eastAsia="仿宋_GB2312" w:cs="仿宋_GB2312"/>
          <w:bCs/>
          <w:color w:val="auto"/>
          <w:kern w:val="0"/>
          <w:sz w:val="32"/>
          <w:szCs w:val="32"/>
          <w:highlight w:val="none"/>
        </w:rPr>
        <w:instrText xml:space="preserve"> HYPERLINK \l _Toc7643 </w:instrText>
      </w:r>
      <w:r>
        <w:rPr>
          <w:rFonts w:hint="eastAsia" w:ascii="仿宋_GB2312" w:hAnsi="仿宋_GB2312" w:eastAsia="仿宋_GB2312" w:cs="仿宋_GB2312"/>
          <w:bCs/>
          <w:color w:val="auto"/>
          <w:kern w:val="0"/>
          <w:sz w:val="32"/>
          <w:szCs w:val="32"/>
          <w:highlight w:val="none"/>
        </w:rPr>
        <w:fldChar w:fldCharType="separate"/>
      </w:r>
      <w:r>
        <w:rPr>
          <w:rFonts w:hint="eastAsia" w:ascii="仿宋_GB2312" w:hAnsi="仿宋_GB2312" w:eastAsia="仿宋_GB2312" w:cs="仿宋_GB2312"/>
          <w:bCs/>
          <w:color w:val="auto"/>
          <w:kern w:val="0"/>
          <w:sz w:val="32"/>
          <w:szCs w:val="32"/>
          <w:highlight w:val="none"/>
          <w:lang w:val="en-US" w:eastAsia="zh-CN"/>
        </w:rPr>
        <w:t>八、</w:t>
      </w:r>
      <w:r>
        <w:rPr>
          <w:rFonts w:hint="eastAsia" w:ascii="仿宋_GB2312" w:hAnsi="仿宋_GB2312" w:eastAsia="仿宋_GB2312" w:cs="仿宋_GB2312"/>
          <w:bCs/>
          <w:color w:val="auto"/>
          <w:kern w:val="0"/>
          <w:sz w:val="32"/>
          <w:szCs w:val="32"/>
          <w:highlight w:val="none"/>
        </w:rPr>
        <w:t>《政府性基金预算财政拨款收入支出决算表》</w:t>
      </w:r>
      <w:r>
        <w:rPr>
          <w:rFonts w:hint="eastAsia" w:ascii="仿宋_GB2312" w:hAnsi="仿宋_GB2312" w:eastAsia="仿宋_GB2312" w:cs="仿宋_GB2312"/>
          <w:bCs/>
          <w:color w:val="auto"/>
          <w:kern w:val="0"/>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Cs/>
          <w:color w:val="auto"/>
          <w:kern w:val="0"/>
          <w:sz w:val="32"/>
          <w:szCs w:val="32"/>
          <w:highlight w:val="none"/>
          <w:lang w:eastAsia="zh-CN"/>
        </w:rPr>
      </w:pPr>
      <w:r>
        <w:rPr>
          <w:rFonts w:hint="eastAsia" w:ascii="仿宋_GB2312" w:hAnsi="仿宋_GB2312" w:eastAsia="仿宋_GB2312" w:cs="仿宋_GB2312"/>
          <w:bCs/>
          <w:color w:val="auto"/>
          <w:kern w:val="0"/>
          <w:sz w:val="32"/>
          <w:szCs w:val="32"/>
          <w:highlight w:val="none"/>
          <w:lang w:val="en-US" w:eastAsia="zh-CN"/>
        </w:rPr>
        <w:t>九</w:t>
      </w:r>
      <w:r>
        <w:rPr>
          <w:rFonts w:hint="eastAsia" w:ascii="仿宋_GB2312" w:hAnsi="仿宋_GB2312" w:eastAsia="仿宋_GB2312" w:cs="仿宋_GB2312"/>
          <w:bCs/>
          <w:color w:val="auto"/>
          <w:kern w:val="0"/>
          <w:sz w:val="32"/>
          <w:szCs w:val="32"/>
          <w:highlight w:val="none"/>
          <w:lang w:eastAsia="zh-CN"/>
        </w:rPr>
        <w:t>、《国有资本经营</w:t>
      </w:r>
      <w:r>
        <w:rPr>
          <w:rFonts w:hint="eastAsia" w:ascii="仿宋_GB2312" w:hAnsi="仿宋_GB2312" w:eastAsia="仿宋_GB2312" w:cs="仿宋_GB2312"/>
          <w:bCs/>
          <w:color w:val="auto"/>
          <w:kern w:val="0"/>
          <w:sz w:val="32"/>
          <w:szCs w:val="32"/>
          <w:highlight w:val="none"/>
        </w:rPr>
        <w:t>预算财政拨款收入支出决算表</w:t>
      </w:r>
      <w:r>
        <w:rPr>
          <w:rFonts w:hint="eastAsia" w:ascii="仿宋_GB2312" w:hAnsi="仿宋_GB2312" w:eastAsia="仿宋_GB2312" w:cs="仿宋_GB2312"/>
          <w:bCs/>
          <w:color w:val="auto"/>
          <w:kern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ind w:left="0" w:leftChars="0"/>
        <w:jc w:val="both"/>
        <w:textAlignment w:val="auto"/>
        <w:rPr>
          <w:color w:val="auto"/>
          <w:highlight w:val="none"/>
        </w:rPr>
      </w:pPr>
      <w:r>
        <w:rPr>
          <w:rFonts w:hint="eastAsia" w:ascii="仿宋_GB2312" w:hAnsi="仿宋_GB2312" w:eastAsia="仿宋_GB2312" w:cs="仿宋_GB2312"/>
          <w:color w:val="auto"/>
          <w:sz w:val="32"/>
          <w:szCs w:val="32"/>
          <w:highlight w:val="none"/>
        </w:rPr>
        <w:fldChar w:fldCharType="end"/>
      </w:r>
    </w:p>
    <w:p>
      <w:pPr>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ascii="黑体" w:hAnsi="黑体" w:eastAsia="黑体"/>
          <w:color w:val="auto"/>
          <w:sz w:val="32"/>
          <w:szCs w:val="32"/>
          <w:highlight w:val="none"/>
        </w:rPr>
      </w:pPr>
      <w:bookmarkStart w:id="0" w:name="_Toc24028"/>
      <w:bookmarkStart w:id="1" w:name="_Toc32314"/>
      <w:r>
        <w:rPr>
          <w:rFonts w:hint="eastAsia" w:ascii="黑体" w:hAnsi="黑体" w:eastAsia="黑体"/>
          <w:color w:val="auto"/>
          <w:sz w:val="32"/>
          <w:szCs w:val="32"/>
          <w:highlight w:val="none"/>
        </w:rPr>
        <w:t xml:space="preserve">第一部分 </w:t>
      </w:r>
      <w:r>
        <w:rPr>
          <w:rFonts w:hint="eastAsia" w:ascii="黑体" w:hAnsi="黑体" w:eastAsia="黑体"/>
          <w:color w:val="auto"/>
          <w:sz w:val="32"/>
          <w:szCs w:val="32"/>
          <w:highlight w:val="none"/>
          <w:lang w:eastAsia="zh-CN"/>
        </w:rPr>
        <w:t>单位</w:t>
      </w:r>
      <w:r>
        <w:rPr>
          <w:rFonts w:hint="eastAsia" w:ascii="黑体" w:hAnsi="黑体" w:eastAsia="黑体"/>
          <w:color w:val="auto"/>
          <w:sz w:val="32"/>
          <w:szCs w:val="32"/>
          <w:highlight w:val="none"/>
        </w:rPr>
        <w:t>概况</w:t>
      </w:r>
      <w:bookmarkEnd w:id="0"/>
      <w:bookmarkEnd w:id="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ascii="黑体" w:hAnsi="黑体" w:eastAsia="黑体" w:cs="宋体"/>
          <w:bCs/>
          <w:color w:val="auto"/>
          <w:kern w:val="0"/>
          <w:sz w:val="32"/>
          <w:szCs w:val="32"/>
          <w:highlight w:val="none"/>
        </w:rPr>
      </w:pPr>
      <w:bookmarkStart w:id="2" w:name="_Toc30567"/>
      <w:bookmarkStart w:id="3" w:name="_Toc30738"/>
      <w:r>
        <w:rPr>
          <w:rFonts w:hint="eastAsia" w:ascii="黑体" w:hAnsi="黑体" w:eastAsia="黑体" w:cs="宋体"/>
          <w:bCs/>
          <w:color w:val="auto"/>
          <w:kern w:val="0"/>
          <w:sz w:val="32"/>
          <w:szCs w:val="32"/>
          <w:highlight w:val="none"/>
        </w:rPr>
        <w:t>一、主要职能</w:t>
      </w:r>
      <w:bookmarkEnd w:id="2"/>
      <w:bookmarkEnd w:id="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bookmarkStart w:id="4" w:name="_Toc31238"/>
      <w:bookmarkStart w:id="5" w:name="_Toc2151"/>
      <w:r>
        <w:rPr>
          <w:rFonts w:hint="eastAsia" w:ascii="仿宋_GB2312" w:hAnsi="仿宋_GB2312" w:eastAsia="仿宋_GB2312" w:cs="仿宋_GB2312"/>
          <w:bCs/>
          <w:color w:val="auto"/>
          <w:kern w:val="0"/>
          <w:sz w:val="32"/>
          <w:szCs w:val="32"/>
          <w:highlight w:val="none"/>
        </w:rPr>
        <w:t>根据《关于印发〈新疆维吾尔自治区民族事务委员会（宗教事务局）所属事业单位分类改革方案〉的通知》（新事改办〔2014〕37 号），属于自治区民委（宗教事务局）不分类社会团体。新疆维吾尔自治区伊斯兰教协会是主要承担以下职能：</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t>1、贯彻实施有关法律、法规、规章，执行党中央、国务院关于民族宗教工作的方针、政策；组织开展民族宗教理论、民族宗教政策的宣传教育；组织开展民族宗教工作重大问题的调查研究并提出工作建议。</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t>2、依法履行宗教事务管理职责，依法保护公民宗教信仰自由和正常的宗教活动，维护宗教界合法权益，促进宗教关系和谐。</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t>3、组织实施国家的宗教法律、法规和政策</w:t>
      </w:r>
      <w:r>
        <w:rPr>
          <w:rFonts w:hint="eastAsia" w:ascii="仿宋_GB2312" w:hAnsi="仿宋_GB2312" w:eastAsia="仿宋_GB2312" w:cs="仿宋_GB2312"/>
          <w:bCs/>
          <w:color w:val="auto"/>
          <w:kern w:val="0"/>
          <w:sz w:val="32"/>
          <w:szCs w:val="32"/>
          <w:highlight w:val="none"/>
          <w:lang w:eastAsia="zh-CN"/>
        </w:rPr>
        <w:t>；</w:t>
      </w:r>
      <w:r>
        <w:rPr>
          <w:rFonts w:hint="eastAsia" w:ascii="仿宋_GB2312" w:hAnsi="仿宋_GB2312" w:eastAsia="仿宋_GB2312" w:cs="仿宋_GB2312"/>
          <w:bCs/>
          <w:color w:val="auto"/>
          <w:kern w:val="0"/>
          <w:sz w:val="32"/>
          <w:szCs w:val="32"/>
          <w:highlight w:val="none"/>
        </w:rPr>
        <w:t>引导、促进宗教在法律、法规和政策范围内活动；负责宗教事务管理方面的行政复议等法律事务。</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t>4、指导宗教团体依法依章开展活动</w:t>
      </w:r>
      <w:r>
        <w:rPr>
          <w:rFonts w:hint="eastAsia" w:ascii="仿宋_GB2312" w:hAnsi="仿宋_GB2312" w:eastAsia="仿宋_GB2312" w:cs="仿宋_GB2312"/>
          <w:bCs/>
          <w:color w:val="auto"/>
          <w:kern w:val="0"/>
          <w:sz w:val="32"/>
          <w:szCs w:val="32"/>
          <w:highlight w:val="none"/>
          <w:lang w:eastAsia="zh-CN"/>
        </w:rPr>
        <w:t>，</w:t>
      </w:r>
      <w:r>
        <w:rPr>
          <w:rFonts w:hint="eastAsia" w:ascii="仿宋_GB2312" w:hAnsi="仿宋_GB2312" w:eastAsia="仿宋_GB2312" w:cs="仿宋_GB2312"/>
          <w:bCs/>
          <w:color w:val="auto"/>
          <w:kern w:val="0"/>
          <w:sz w:val="32"/>
          <w:szCs w:val="32"/>
          <w:highlight w:val="none"/>
        </w:rPr>
        <w:t>支持宗教团体加强自建设，推动宗教团体在宗教界开展爱国主义、社会主义、维护祖国统一和民族团结的自我教育，办理宗教团体需由政府解决或协调的有关事务；帮助宗教团体培养、教育宗教教职人员、办好宗教院校。</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t>5、承办自治区人民政府交办的其他事项。</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黑体" w:cs="宋体"/>
          <w:bCs/>
          <w:color w:val="auto"/>
          <w:kern w:val="0"/>
          <w:sz w:val="32"/>
          <w:szCs w:val="32"/>
          <w:highlight w:val="none"/>
        </w:rPr>
      </w:pPr>
      <w:r>
        <w:rPr>
          <w:rFonts w:hint="eastAsia" w:ascii="黑体" w:hAnsi="黑体" w:eastAsia="黑体" w:cs="宋体"/>
          <w:bCs/>
          <w:color w:val="auto"/>
          <w:kern w:val="0"/>
          <w:sz w:val="32"/>
          <w:szCs w:val="32"/>
          <w:highlight w:val="none"/>
        </w:rPr>
        <w:t>二、机构设置</w:t>
      </w:r>
      <w:r>
        <w:rPr>
          <w:rFonts w:hint="eastAsia" w:ascii="黑体" w:hAnsi="黑体" w:eastAsia="黑体" w:cs="宋体"/>
          <w:bCs/>
          <w:color w:val="auto"/>
          <w:kern w:val="0"/>
          <w:sz w:val="32"/>
          <w:szCs w:val="32"/>
          <w:highlight w:val="none"/>
          <w:lang w:eastAsia="zh-CN"/>
        </w:rPr>
        <w:t>及</w:t>
      </w:r>
      <w:bookmarkEnd w:id="4"/>
      <w:r>
        <w:rPr>
          <w:rFonts w:hint="eastAsia" w:ascii="黑体" w:hAnsi="黑体" w:eastAsia="黑体" w:cs="宋体"/>
          <w:bCs/>
          <w:color w:val="auto"/>
          <w:kern w:val="0"/>
          <w:sz w:val="32"/>
          <w:szCs w:val="32"/>
          <w:highlight w:val="none"/>
          <w:lang w:eastAsia="zh-CN"/>
        </w:rPr>
        <w:t>人员</w:t>
      </w:r>
      <w:r>
        <w:rPr>
          <w:rFonts w:hint="eastAsia" w:ascii="黑体" w:hAnsi="黑体" w:eastAsia="黑体" w:cs="宋体"/>
          <w:bCs/>
          <w:color w:val="auto"/>
          <w:kern w:val="0"/>
          <w:sz w:val="32"/>
          <w:szCs w:val="32"/>
          <w:highlight w:val="none"/>
        </w:rPr>
        <w:t>情况</w:t>
      </w:r>
      <w:bookmarkEnd w:id="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b/>
          <w:color w:val="auto"/>
          <w:sz w:val="32"/>
          <w:szCs w:val="32"/>
          <w:highlight w:val="none"/>
        </w:rPr>
      </w:pPr>
      <w:r>
        <w:rPr>
          <w:rFonts w:hint="eastAsia" w:ascii="仿宋_GB2312" w:eastAsia="仿宋_GB2312"/>
          <w:color w:val="auto"/>
          <w:sz w:val="32"/>
          <w:szCs w:val="32"/>
          <w:highlight w:val="none"/>
          <w:lang w:val="en-US" w:eastAsia="zh-CN"/>
        </w:rPr>
        <w:t xml:space="preserve">新疆维吾尔自治区伊斯兰教协会 </w:t>
      </w:r>
      <w:r>
        <w:rPr>
          <w:rFonts w:hint="eastAsia" w:ascii="仿宋_GB2312" w:eastAsia="仿宋_GB2312"/>
          <w:color w:val="auto"/>
          <w:sz w:val="32"/>
          <w:szCs w:val="32"/>
          <w:highlight w:val="none"/>
          <w:lang w:eastAsia="zh-CN"/>
        </w:rPr>
        <w:t>2023年度，</w:t>
      </w:r>
      <w:r>
        <w:rPr>
          <w:rFonts w:hint="eastAsia" w:ascii="仿宋_GB2312" w:eastAsia="仿宋_GB2312"/>
          <w:color w:val="auto"/>
          <w:sz w:val="32"/>
          <w:szCs w:val="32"/>
          <w:highlight w:val="none"/>
        </w:rPr>
        <w:t>实有人数</w:t>
      </w:r>
      <w:r>
        <w:rPr>
          <w:rFonts w:hint="eastAsia" w:ascii="仿宋_GB2312" w:eastAsia="仿宋_GB2312"/>
          <w:color w:val="auto"/>
          <w:sz w:val="32"/>
          <w:szCs w:val="32"/>
          <w:highlight w:val="none"/>
          <w:lang w:val="zh-CN" w:eastAsia="zh-CN"/>
        </w:rPr>
        <w:t>18</w:t>
      </w:r>
      <w:r>
        <w:rPr>
          <w:rFonts w:hint="eastAsia" w:ascii="仿宋_GB2312" w:eastAsia="仿宋_GB2312"/>
          <w:color w:val="auto"/>
          <w:sz w:val="32"/>
          <w:szCs w:val="32"/>
          <w:highlight w:val="none"/>
        </w:rPr>
        <w:t>人，其中：在职人员</w:t>
      </w:r>
      <w:r>
        <w:rPr>
          <w:rFonts w:hint="eastAsia" w:ascii="仿宋_GB2312" w:eastAsia="仿宋_GB2312"/>
          <w:color w:val="auto"/>
          <w:sz w:val="32"/>
          <w:szCs w:val="32"/>
          <w:highlight w:val="none"/>
          <w:lang w:val="zh-CN" w:eastAsia="zh-CN"/>
        </w:rPr>
        <w:t>11</w:t>
      </w:r>
      <w:r>
        <w:rPr>
          <w:rFonts w:hint="eastAsia" w:ascii="仿宋_GB2312" w:eastAsia="仿宋_GB2312"/>
          <w:color w:val="auto"/>
          <w:sz w:val="32"/>
          <w:szCs w:val="32"/>
          <w:highlight w:val="none"/>
        </w:rPr>
        <w:t>人</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离休人员</w:t>
      </w:r>
      <w:r>
        <w:rPr>
          <w:rFonts w:hint="eastAsia" w:ascii="仿宋_GB2312" w:eastAsia="仿宋_GB2312"/>
          <w:color w:val="auto"/>
          <w:sz w:val="32"/>
          <w:szCs w:val="32"/>
          <w:highlight w:val="none"/>
          <w:lang w:val="zh-CN" w:eastAsia="zh-CN"/>
        </w:rPr>
        <w:t>0</w:t>
      </w:r>
      <w:r>
        <w:rPr>
          <w:rFonts w:hint="eastAsia" w:ascii="仿宋_GB2312" w:eastAsia="仿宋_GB2312"/>
          <w:color w:val="auto"/>
          <w:sz w:val="32"/>
          <w:szCs w:val="32"/>
          <w:highlight w:val="none"/>
        </w:rPr>
        <w:t>人，退休人员</w:t>
      </w:r>
      <w:r>
        <w:rPr>
          <w:rFonts w:hint="eastAsia" w:ascii="仿宋_GB2312" w:eastAsia="仿宋_GB2312"/>
          <w:color w:val="auto"/>
          <w:sz w:val="32"/>
          <w:szCs w:val="32"/>
          <w:highlight w:val="none"/>
          <w:lang w:val="zh-CN" w:eastAsia="zh-CN"/>
        </w:rPr>
        <w:t>7</w:t>
      </w:r>
      <w:r>
        <w:rPr>
          <w:rFonts w:hint="eastAsia" w:ascii="仿宋_GB2312" w:eastAsia="仿宋_GB2312"/>
          <w:color w:val="auto"/>
          <w:sz w:val="32"/>
          <w:szCs w:val="32"/>
          <w:highlight w:val="none"/>
        </w:rPr>
        <w:t>人。</w:t>
      </w:r>
    </w:p>
    <w:p>
      <w:pPr>
        <w:keepNext w:val="0"/>
        <w:keepLines w:val="0"/>
        <w:pageBreakBefore w:val="0"/>
        <w:widowControl w:val="0"/>
        <w:kinsoku/>
        <w:wordWrap/>
        <w:overflowPunct/>
        <w:topLinePunct w:val="0"/>
        <w:bidi w:val="0"/>
        <w:adjustRightInd/>
        <w:snapToGrid/>
        <w:spacing w:line="240" w:lineRule="auto"/>
        <w:ind w:firstLine="640" w:firstLineChars="200"/>
        <w:jc w:val="both"/>
        <w:textAlignment w:val="auto"/>
        <w:rPr>
          <w:rFonts w:hint="eastAsia" w:ascii="仿宋_GB2312" w:hAnsi="宋体" w:eastAsia="仿宋_GB2312" w:cs="宋体"/>
          <w:color w:val="auto"/>
          <w:kern w:val="0"/>
          <w:sz w:val="32"/>
          <w:szCs w:val="32"/>
          <w:highlight w:val="none"/>
        </w:rPr>
        <w:sectPr>
          <w:footerReference r:id="rId3" w:type="default"/>
          <w:pgSz w:w="11906" w:h="16838"/>
          <w:pgMar w:top="1440" w:right="1800" w:bottom="1440" w:left="1800" w:header="851" w:footer="992" w:gutter="0"/>
          <w:cols w:space="720" w:num="1"/>
          <w:docGrid w:type="lines" w:linePitch="312" w:charSpace="0"/>
        </w:sectPr>
      </w:pPr>
      <w:r>
        <w:rPr>
          <w:rFonts w:hint="eastAsia" w:ascii="仿宋_GB2312" w:eastAsia="仿宋_GB2312"/>
          <w:color w:val="auto"/>
          <w:sz w:val="32"/>
          <w:szCs w:val="32"/>
          <w:highlight w:val="none"/>
          <w:lang w:val="en-US" w:eastAsia="zh-CN"/>
        </w:rPr>
        <w:t>新疆维吾尔自治区伊斯兰教协会</w:t>
      </w:r>
      <w:r>
        <w:rPr>
          <w:rFonts w:hint="eastAsia" w:ascii="仿宋_GB2312" w:hAnsi="黑体" w:eastAsia="仿宋_GB2312" w:cs="宋体"/>
          <w:bCs/>
          <w:color w:val="auto"/>
          <w:kern w:val="0"/>
          <w:sz w:val="32"/>
          <w:szCs w:val="32"/>
          <w:highlight w:val="none"/>
        </w:rPr>
        <w:t>无下属预算单位，</w:t>
      </w:r>
      <w:r>
        <w:rPr>
          <w:rFonts w:hint="eastAsia" w:ascii="仿宋_GB2312" w:hAnsi="黑体" w:eastAsia="仿宋_GB2312" w:cs="宋体"/>
          <w:bCs/>
          <w:color w:val="auto"/>
          <w:kern w:val="0"/>
          <w:sz w:val="32"/>
          <w:szCs w:val="32"/>
          <w:highlight w:val="none"/>
          <w:lang w:val="en-US" w:eastAsia="zh-CN"/>
        </w:rPr>
        <w:t>下设 2 个处室，是：办公室，教务指导室。</w:t>
      </w:r>
      <w:bookmarkStart w:id="48" w:name="_GoBack"/>
      <w:bookmarkEnd w:id="48"/>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ascii="黑体" w:hAnsi="黑体" w:eastAsia="黑体"/>
          <w:color w:val="auto"/>
          <w:sz w:val="32"/>
          <w:szCs w:val="32"/>
          <w:highlight w:val="none"/>
        </w:rPr>
      </w:pPr>
      <w:bookmarkStart w:id="6" w:name="_Toc29374"/>
      <w:bookmarkStart w:id="7" w:name="_Toc3092"/>
      <w:r>
        <w:rPr>
          <w:rFonts w:hint="eastAsia" w:ascii="黑体" w:hAnsi="黑体" w:eastAsia="黑体"/>
          <w:color w:val="auto"/>
          <w:sz w:val="32"/>
          <w:szCs w:val="32"/>
          <w:highlight w:val="none"/>
        </w:rPr>
        <w:t>第</w:t>
      </w:r>
      <w:r>
        <w:rPr>
          <w:rFonts w:hint="eastAsia" w:ascii="黑体" w:hAnsi="黑体" w:eastAsia="黑体"/>
          <w:color w:val="auto"/>
          <w:sz w:val="32"/>
          <w:szCs w:val="32"/>
          <w:highlight w:val="none"/>
          <w:lang w:val="en-US" w:eastAsia="zh-CN"/>
        </w:rPr>
        <w:t>二</w:t>
      </w:r>
      <w:r>
        <w:rPr>
          <w:rFonts w:hint="eastAsia" w:ascii="黑体" w:hAnsi="黑体" w:eastAsia="黑体"/>
          <w:color w:val="auto"/>
          <w:sz w:val="32"/>
          <w:szCs w:val="32"/>
          <w:highlight w:val="none"/>
        </w:rPr>
        <w:t>部分 部门决算情况说明</w:t>
      </w:r>
      <w:bookmarkEnd w:id="6"/>
      <w:bookmarkEnd w:id="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黑体" w:cs="宋体"/>
          <w:bCs/>
          <w:color w:val="auto"/>
          <w:kern w:val="0"/>
          <w:sz w:val="32"/>
          <w:szCs w:val="32"/>
          <w:highlight w:val="none"/>
        </w:rPr>
      </w:pPr>
      <w:bookmarkStart w:id="8" w:name="_Toc25314"/>
      <w:bookmarkStart w:id="9" w:name="_Toc12566"/>
      <w:r>
        <w:rPr>
          <w:rFonts w:hint="eastAsia" w:ascii="黑体" w:hAnsi="黑体" w:eastAsia="黑体" w:cs="宋体"/>
          <w:bCs/>
          <w:color w:val="auto"/>
          <w:kern w:val="0"/>
          <w:sz w:val="32"/>
          <w:szCs w:val="32"/>
          <w:highlight w:val="none"/>
        </w:rPr>
        <w:t>一、收入支出决算总体情况说明</w:t>
      </w:r>
      <w:bookmarkEnd w:id="8"/>
      <w:bookmarkEnd w:id="9"/>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eastAsia="zh-CN"/>
        </w:rPr>
        <w:t>2023年度</w:t>
      </w:r>
      <w:r>
        <w:rPr>
          <w:rFonts w:hint="eastAsia" w:ascii="仿宋_GB2312" w:eastAsia="仿宋_GB2312"/>
          <w:color w:val="auto"/>
          <w:spacing w:val="0"/>
          <w:sz w:val="32"/>
          <w:szCs w:val="32"/>
          <w:highlight w:val="none"/>
          <w:lang w:val="en-US" w:eastAsia="zh-CN"/>
        </w:rPr>
        <w:t>收入总计</w:t>
      </w:r>
      <w:r>
        <w:rPr>
          <w:rFonts w:hint="eastAsia" w:ascii="仿宋_GB2312" w:eastAsia="仿宋_GB2312"/>
          <w:color w:val="auto"/>
          <w:spacing w:val="0"/>
          <w:sz w:val="32"/>
          <w:szCs w:val="32"/>
          <w:highlight w:val="none"/>
          <w:lang w:eastAsia="zh-CN"/>
        </w:rPr>
        <w:t>548.01万元，</w:t>
      </w:r>
      <w:r>
        <w:rPr>
          <w:rFonts w:hint="eastAsia" w:ascii="仿宋_GB2312" w:eastAsia="仿宋_GB2312"/>
          <w:color w:val="auto"/>
          <w:spacing w:val="0"/>
          <w:sz w:val="32"/>
          <w:szCs w:val="32"/>
          <w:highlight w:val="none"/>
          <w:lang w:val="en-US" w:eastAsia="zh-CN"/>
        </w:rPr>
        <w:t>其中：本年收入合计</w:t>
      </w:r>
      <w:r>
        <w:rPr>
          <w:rFonts w:hint="eastAsia" w:ascii="仿宋_GB2312" w:eastAsia="仿宋_GB2312"/>
          <w:color w:val="auto"/>
          <w:spacing w:val="0"/>
          <w:sz w:val="32"/>
          <w:szCs w:val="32"/>
          <w:highlight w:val="none"/>
          <w:lang w:eastAsia="zh-CN"/>
        </w:rPr>
        <w:t>514.82万元，使用非财政拨款结余0.00万元，年初结转和结余33.19万元。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val="en-US" w:eastAsia="zh-CN"/>
        </w:rPr>
        <w:t>2023</w:t>
      </w:r>
      <w:r>
        <w:rPr>
          <w:rFonts w:hint="eastAsia" w:ascii="仿宋_GB2312" w:eastAsia="仿宋_GB2312"/>
          <w:color w:val="auto"/>
          <w:spacing w:val="0"/>
          <w:sz w:val="32"/>
          <w:szCs w:val="32"/>
          <w:highlight w:val="none"/>
          <w:lang w:eastAsia="zh-CN"/>
        </w:rPr>
        <w:t>年</w:t>
      </w:r>
      <w:r>
        <w:rPr>
          <w:rFonts w:hint="eastAsia" w:ascii="仿宋_GB2312" w:eastAsia="仿宋_GB2312"/>
          <w:color w:val="auto"/>
          <w:spacing w:val="0"/>
          <w:sz w:val="32"/>
          <w:szCs w:val="32"/>
          <w:highlight w:val="none"/>
          <w:lang w:val="en-US" w:eastAsia="zh-CN"/>
        </w:rPr>
        <w:t>度</w:t>
      </w:r>
      <w:r>
        <w:rPr>
          <w:rFonts w:hint="eastAsia" w:ascii="仿宋_GB2312" w:eastAsia="仿宋_GB2312"/>
          <w:color w:val="auto"/>
          <w:spacing w:val="0"/>
          <w:sz w:val="32"/>
          <w:szCs w:val="32"/>
          <w:highlight w:val="none"/>
          <w:lang w:eastAsia="zh-CN"/>
        </w:rPr>
        <w:t>支出</w:t>
      </w:r>
      <w:r>
        <w:rPr>
          <w:rFonts w:hint="eastAsia" w:ascii="仿宋_GB2312" w:eastAsia="仿宋_GB2312"/>
          <w:color w:val="auto"/>
          <w:spacing w:val="0"/>
          <w:sz w:val="32"/>
          <w:szCs w:val="32"/>
          <w:highlight w:val="none"/>
          <w:lang w:val="en-US" w:eastAsia="zh-CN"/>
        </w:rPr>
        <w:t>总计</w:t>
      </w:r>
      <w:r>
        <w:rPr>
          <w:rFonts w:hint="eastAsia" w:ascii="仿宋_GB2312" w:eastAsia="仿宋_GB2312"/>
          <w:color w:val="auto"/>
          <w:spacing w:val="0"/>
          <w:sz w:val="32"/>
          <w:szCs w:val="32"/>
          <w:highlight w:val="none"/>
          <w:lang w:eastAsia="zh-CN"/>
        </w:rPr>
        <w:t>548.01万元，</w:t>
      </w:r>
      <w:r>
        <w:rPr>
          <w:rFonts w:hint="eastAsia" w:ascii="仿宋_GB2312" w:eastAsia="仿宋_GB2312"/>
          <w:color w:val="auto"/>
          <w:spacing w:val="0"/>
          <w:sz w:val="32"/>
          <w:szCs w:val="32"/>
          <w:highlight w:val="none"/>
          <w:lang w:val="en-US" w:eastAsia="zh-CN"/>
        </w:rPr>
        <w:t>其中：本年支出合计</w:t>
      </w:r>
      <w:r>
        <w:rPr>
          <w:rFonts w:hint="eastAsia" w:ascii="仿宋_GB2312" w:eastAsia="仿宋_GB2312"/>
          <w:color w:val="auto"/>
          <w:spacing w:val="0"/>
          <w:sz w:val="32"/>
          <w:szCs w:val="32"/>
          <w:highlight w:val="none"/>
          <w:lang w:eastAsia="zh-CN"/>
        </w:rPr>
        <w:t>501.27万元，</w:t>
      </w:r>
      <w:r>
        <w:rPr>
          <w:rFonts w:hint="eastAsia" w:ascii="仿宋_GB2312" w:eastAsia="仿宋_GB2312"/>
          <w:color w:val="auto"/>
          <w:spacing w:val="0"/>
          <w:sz w:val="32"/>
          <w:szCs w:val="32"/>
          <w:highlight w:val="none"/>
          <w:lang w:val="en-US" w:eastAsia="zh-CN"/>
        </w:rPr>
        <w:t>结余分配</w:t>
      </w:r>
      <w:r>
        <w:rPr>
          <w:rFonts w:hint="eastAsia" w:ascii="仿宋_GB2312" w:eastAsia="仿宋_GB2312"/>
          <w:color w:val="auto"/>
          <w:spacing w:val="0"/>
          <w:sz w:val="32"/>
          <w:szCs w:val="32"/>
          <w:highlight w:val="none"/>
          <w:lang w:eastAsia="zh-CN"/>
        </w:rPr>
        <w:t>0.00万元，年末结转和结余46.74万元。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val="en-US" w:eastAsia="zh-CN"/>
        </w:rPr>
        <w:t>收入支出总体与上年相比</w:t>
      </w:r>
      <w:r>
        <w:rPr>
          <w:rFonts w:hint="eastAsia" w:ascii="仿宋_GB2312" w:eastAsia="仿宋_GB2312"/>
          <w:color w:val="auto"/>
          <w:spacing w:val="0"/>
          <w:sz w:val="32"/>
          <w:szCs w:val="32"/>
          <w:highlight w:val="none"/>
          <w:lang w:eastAsia="zh-CN"/>
        </w:rPr>
        <w:t>，</w:t>
      </w:r>
      <w:r>
        <w:rPr>
          <w:rFonts w:hint="eastAsia" w:ascii="仿宋_GB2312" w:eastAsia="仿宋_GB2312"/>
          <w:color w:val="auto"/>
          <w:spacing w:val="0"/>
          <w:sz w:val="32"/>
          <w:szCs w:val="32"/>
          <w:highlight w:val="none"/>
          <w:lang w:val="zh-CN" w:eastAsia="zh-CN"/>
        </w:rPr>
        <w:t>增加548.01万元</w:t>
      </w:r>
      <w:r>
        <w:rPr>
          <w:rFonts w:hint="eastAsia" w:ascii="仿宋_GB2312" w:eastAsia="仿宋_GB2312"/>
          <w:color w:val="auto"/>
          <w:spacing w:val="0"/>
          <w:sz w:val="32"/>
          <w:szCs w:val="32"/>
          <w:highlight w:val="none"/>
          <w:lang w:eastAsia="zh-CN"/>
        </w:rPr>
        <w:t>，增长100.00%，主要原因是：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新疆维吾尔自治区伊斯兰教协会</w:t>
      </w:r>
      <w:r>
        <w:rPr>
          <w:rFonts w:hint="eastAsia" w:ascii="仿宋_GB2312" w:eastAsia="仿宋_GB2312"/>
          <w:color w:val="auto"/>
          <w:spacing w:val="0"/>
          <w:sz w:val="32"/>
          <w:szCs w:val="32"/>
          <w:highlight w:val="none"/>
          <w:lang w:val="en-US" w:eastAsia="zh-CN"/>
        </w:rPr>
        <w:t>首次编报部门决算，2022年度收入支出总体情况汇总在自治区民委（宗教事务局）部门决算中</w:t>
      </w:r>
      <w:r>
        <w:rPr>
          <w:rFonts w:hint="eastAsia" w:ascii="仿宋_GB2312" w:eastAsia="仿宋_GB2312"/>
          <w:color w:val="auto"/>
          <w:spacing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rPr>
      </w:pPr>
      <w:bookmarkStart w:id="10" w:name="_Toc1979"/>
      <w:bookmarkStart w:id="11" w:name="_Toc12142"/>
      <w:r>
        <w:rPr>
          <w:rFonts w:hint="eastAsia" w:ascii="黑体" w:hAnsi="黑体" w:eastAsia="黑体" w:cs="宋体"/>
          <w:bCs/>
          <w:color w:val="auto"/>
          <w:kern w:val="0"/>
          <w:sz w:val="32"/>
          <w:szCs w:val="32"/>
          <w:highlight w:val="none"/>
          <w:lang w:eastAsia="zh-CN"/>
        </w:rPr>
        <w:t>二、</w:t>
      </w:r>
      <w:r>
        <w:rPr>
          <w:rFonts w:hint="eastAsia" w:ascii="黑体" w:hAnsi="黑体" w:eastAsia="黑体" w:cs="宋体"/>
          <w:bCs/>
          <w:color w:val="auto"/>
          <w:kern w:val="0"/>
          <w:sz w:val="32"/>
          <w:szCs w:val="32"/>
          <w:highlight w:val="none"/>
        </w:rPr>
        <w:t>收入</w:t>
      </w:r>
      <w:r>
        <w:rPr>
          <w:rFonts w:hint="eastAsia" w:ascii="黑体" w:hAnsi="黑体" w:eastAsia="黑体" w:cs="宋体"/>
          <w:bCs/>
          <w:color w:val="auto"/>
          <w:kern w:val="0"/>
          <w:sz w:val="32"/>
          <w:szCs w:val="32"/>
          <w:highlight w:val="none"/>
          <w:lang w:eastAsia="zh-CN"/>
        </w:rPr>
        <w:t>决算</w:t>
      </w:r>
      <w:r>
        <w:rPr>
          <w:rFonts w:hint="eastAsia" w:ascii="黑体" w:hAnsi="黑体" w:eastAsia="黑体" w:cs="宋体"/>
          <w:bCs/>
          <w:color w:val="auto"/>
          <w:kern w:val="0"/>
          <w:sz w:val="32"/>
          <w:szCs w:val="32"/>
          <w:highlight w:val="none"/>
        </w:rPr>
        <w:t>情况说明</w:t>
      </w:r>
      <w:bookmarkEnd w:id="10"/>
      <w:bookmarkEnd w:id="1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本年收入</w:t>
      </w:r>
      <w:r>
        <w:rPr>
          <w:rFonts w:hint="eastAsia" w:ascii="仿宋_GB2312" w:eastAsia="仿宋_GB2312"/>
          <w:color w:val="auto"/>
          <w:sz w:val="32"/>
          <w:szCs w:val="32"/>
          <w:highlight w:val="none"/>
          <w:lang w:eastAsia="zh-CN"/>
        </w:rPr>
        <w:t>514.82</w:t>
      </w:r>
      <w:r>
        <w:rPr>
          <w:rFonts w:hint="eastAsia" w:ascii="仿宋_GB2312" w:eastAsia="仿宋_GB2312"/>
          <w:color w:val="auto"/>
          <w:sz w:val="32"/>
          <w:szCs w:val="32"/>
          <w:highlight w:val="none"/>
        </w:rPr>
        <w:t>万元，其中：财政拨款收入</w:t>
      </w:r>
      <w:r>
        <w:rPr>
          <w:rFonts w:hint="eastAsia" w:ascii="仿宋_GB2312" w:eastAsia="仿宋_GB2312"/>
          <w:color w:val="auto"/>
          <w:sz w:val="32"/>
          <w:szCs w:val="32"/>
          <w:highlight w:val="none"/>
          <w:lang w:val="zh-CN"/>
        </w:rPr>
        <w:t>492.21</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95.61</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；上级补助收入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；事业收入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；经营收入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w:t>
      </w:r>
      <w:r>
        <w:rPr>
          <w:rFonts w:hint="eastAsia" w:ascii="仿宋_GB2312" w:eastAsia="仿宋_GB2312"/>
          <w:color w:val="auto"/>
          <w:sz w:val="32"/>
          <w:szCs w:val="32"/>
          <w:highlight w:val="none"/>
          <w:lang w:eastAsia="zh-CN"/>
        </w:rPr>
        <w:t>附属单位上缴收入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；其他收入</w:t>
      </w:r>
      <w:r>
        <w:rPr>
          <w:rFonts w:hint="eastAsia" w:ascii="仿宋_GB2312" w:eastAsia="仿宋_GB2312"/>
          <w:color w:val="auto"/>
          <w:sz w:val="32"/>
          <w:szCs w:val="32"/>
          <w:highlight w:val="none"/>
          <w:lang w:val="zh-CN"/>
        </w:rPr>
        <w:t>22.61</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4.39</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2" w:name="_Toc27961"/>
      <w:bookmarkStart w:id="13" w:name="_Toc13201"/>
      <w:r>
        <w:rPr>
          <w:rFonts w:hint="eastAsia" w:ascii="黑体" w:hAnsi="黑体" w:eastAsia="黑体" w:cs="宋体"/>
          <w:bCs/>
          <w:color w:val="auto"/>
          <w:kern w:val="0"/>
          <w:sz w:val="32"/>
          <w:szCs w:val="32"/>
          <w:highlight w:val="none"/>
          <w:lang w:eastAsia="zh-CN"/>
        </w:rPr>
        <w:t>三、支出决算情况说明</w:t>
      </w:r>
      <w:bookmarkEnd w:id="12"/>
      <w:bookmarkEnd w:id="1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仿宋_GB2312"/>
          <w:color w:val="auto"/>
          <w:sz w:val="30"/>
          <w:szCs w:val="30"/>
          <w:highlight w:val="none"/>
          <w:lang w:val="zh-CN" w:eastAsia="zh-CN"/>
        </w:rPr>
      </w:pPr>
      <w:r>
        <w:rPr>
          <w:rFonts w:hint="eastAsia" w:ascii="Times New Roman" w:hAnsi="Times New Roman" w:eastAsia="仿宋_GB2312" w:cs="仿宋_GB2312"/>
          <w:color w:val="auto"/>
          <w:sz w:val="32"/>
          <w:szCs w:val="32"/>
          <w:highlight w:val="none"/>
          <w:lang w:val="zh-CN" w:eastAsia="zh-CN"/>
        </w:rPr>
        <w:t>本年支出501.27万元，其中：基本支出290.88万元，占58.03%；项目支出210.39万元，占41.97%；上缴上级支出0.00万元，占0.00%；经营支出0.00万元，占0.00%；对附属单位补助支出0.00万元，占0.00%。</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4" w:name="_Toc26564"/>
      <w:bookmarkStart w:id="15" w:name="_Toc4393"/>
      <w:r>
        <w:rPr>
          <w:rFonts w:hint="eastAsia" w:ascii="黑体" w:hAnsi="黑体" w:eastAsia="黑体" w:cs="宋体"/>
          <w:bCs/>
          <w:color w:val="auto"/>
          <w:kern w:val="0"/>
          <w:sz w:val="32"/>
          <w:szCs w:val="32"/>
          <w:highlight w:val="none"/>
          <w:lang w:eastAsia="zh-CN"/>
        </w:rPr>
        <w:t>四、财政拨款收入支出决算总体情况说明</w:t>
      </w:r>
      <w:bookmarkEnd w:id="14"/>
      <w:bookmarkEnd w:id="1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eastAsia="zh-CN"/>
        </w:rPr>
        <w:t>2023年度财政拨款收入</w:t>
      </w:r>
      <w:r>
        <w:rPr>
          <w:rFonts w:hint="eastAsia" w:ascii="仿宋_GB2312" w:eastAsia="仿宋_GB2312"/>
          <w:color w:val="auto"/>
          <w:spacing w:val="0"/>
          <w:sz w:val="32"/>
          <w:szCs w:val="32"/>
          <w:highlight w:val="none"/>
          <w:lang w:val="en-US" w:eastAsia="zh-CN"/>
        </w:rPr>
        <w:t>总计</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其中：年初财政拨款结转和结余</w:t>
      </w:r>
      <w:r>
        <w:rPr>
          <w:rFonts w:hint="eastAsia" w:ascii="仿宋_GB2312" w:eastAsia="仿宋_GB2312"/>
          <w:color w:val="auto"/>
          <w:spacing w:val="0"/>
          <w:sz w:val="32"/>
          <w:szCs w:val="32"/>
          <w:highlight w:val="none"/>
          <w:lang w:val="zh-CN" w:eastAsia="zh-CN"/>
        </w:rPr>
        <w:t>0.00</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本年财政拨款收入</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万元。财政拨款支出</w:t>
      </w:r>
      <w:r>
        <w:rPr>
          <w:rFonts w:hint="eastAsia" w:ascii="仿宋_GB2312" w:eastAsia="仿宋_GB2312"/>
          <w:color w:val="auto"/>
          <w:spacing w:val="0"/>
          <w:sz w:val="32"/>
          <w:szCs w:val="32"/>
          <w:highlight w:val="none"/>
          <w:lang w:val="en-US" w:eastAsia="zh-CN"/>
        </w:rPr>
        <w:t>总计</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其中：年末财政拨款结转和结余</w:t>
      </w:r>
      <w:r>
        <w:rPr>
          <w:rFonts w:hint="eastAsia" w:ascii="仿宋_GB2312" w:eastAsia="仿宋_GB2312"/>
          <w:color w:val="auto"/>
          <w:spacing w:val="0"/>
          <w:sz w:val="32"/>
          <w:szCs w:val="32"/>
          <w:highlight w:val="none"/>
          <w:lang w:val="zh-CN" w:eastAsia="zh-CN"/>
        </w:rPr>
        <w:t>0.00</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本年财政拨款支出</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jc w:val="left"/>
        <w:textAlignment w:val="auto"/>
        <w:rPr>
          <w:rFonts w:hint="eastAsia" w:ascii="仿宋_GB2312" w:eastAsia="仿宋_GB2312"/>
          <w:color w:val="auto"/>
          <w:spacing w:val="0"/>
          <w:sz w:val="32"/>
          <w:szCs w:val="32"/>
          <w:highlight w:val="none"/>
          <w:lang w:val="en-US" w:eastAsia="zh-CN"/>
        </w:rPr>
      </w:pPr>
      <w:r>
        <w:rPr>
          <w:rFonts w:hint="eastAsia" w:ascii="仿宋_GB2312" w:eastAsia="仿宋_GB2312"/>
          <w:color w:val="auto"/>
          <w:spacing w:val="0"/>
          <w:sz w:val="32"/>
          <w:szCs w:val="32"/>
          <w:highlight w:val="none"/>
          <w:lang w:eastAsia="zh-CN"/>
        </w:rPr>
        <w:t>财政拨款收入支出总体与上年相比</w:t>
      </w:r>
      <w:r>
        <w:rPr>
          <w:rFonts w:hint="eastAsia" w:ascii="仿宋_GB2312" w:eastAsia="仿宋_GB2312"/>
          <w:color w:val="auto"/>
          <w:spacing w:val="0"/>
          <w:sz w:val="32"/>
          <w:szCs w:val="32"/>
          <w:highlight w:val="none"/>
          <w:lang w:val="en-US" w:eastAsia="zh-CN"/>
        </w:rPr>
        <w:t>,</w:t>
      </w:r>
      <w:r>
        <w:rPr>
          <w:rFonts w:hint="eastAsia" w:ascii="仿宋_GB2312" w:eastAsia="仿宋_GB2312"/>
          <w:color w:val="auto"/>
          <w:spacing w:val="0"/>
          <w:sz w:val="32"/>
          <w:szCs w:val="32"/>
          <w:highlight w:val="none"/>
          <w:lang w:val="zh-CN" w:eastAsia="zh-CN"/>
        </w:rPr>
        <w:t>增加492.21万元</w:t>
      </w:r>
      <w:r>
        <w:rPr>
          <w:rFonts w:hint="eastAsia" w:ascii="仿宋_GB2312" w:eastAsia="仿宋_GB2312"/>
          <w:color w:val="auto"/>
          <w:spacing w:val="0"/>
          <w:sz w:val="32"/>
          <w:szCs w:val="32"/>
          <w:highlight w:val="none"/>
          <w:lang w:eastAsia="zh-CN"/>
        </w:rPr>
        <w:t>，</w:t>
      </w:r>
      <w:r>
        <w:rPr>
          <w:rFonts w:hint="eastAsia" w:ascii="仿宋_GB2312" w:eastAsia="仿宋_GB2312"/>
          <w:color w:val="auto"/>
          <w:spacing w:val="0"/>
          <w:sz w:val="32"/>
          <w:szCs w:val="32"/>
          <w:highlight w:val="none"/>
          <w:lang w:val="en-US" w:eastAsia="zh-CN"/>
        </w:rPr>
        <w:t>增长100.00%,</w:t>
      </w:r>
      <w:r>
        <w:rPr>
          <w:rFonts w:hint="eastAsia" w:ascii="仿宋_GB2312" w:eastAsia="仿宋_GB2312"/>
          <w:color w:val="auto"/>
          <w:spacing w:val="0"/>
          <w:sz w:val="32"/>
          <w:szCs w:val="32"/>
          <w:highlight w:val="none"/>
          <w:lang w:eastAsia="zh-CN"/>
        </w:rPr>
        <w:t>主要原因是：2023年，新疆维吾尔自治区伊斯兰教协会首次编报部门决算，2022年度收入支出总体情况汇总在自治区民委（宗教事务局）部门决算中。与年初预算相比，年初预算数</w:t>
      </w:r>
      <w:r>
        <w:rPr>
          <w:rFonts w:hint="eastAsia" w:ascii="仿宋_GB2312" w:eastAsia="仿宋_GB2312"/>
          <w:color w:val="auto"/>
          <w:spacing w:val="0"/>
          <w:sz w:val="32"/>
          <w:szCs w:val="32"/>
          <w:highlight w:val="none"/>
          <w:lang w:val="zh-CN" w:eastAsia="zh-CN"/>
        </w:rPr>
        <w:t>260.06</w:t>
      </w:r>
      <w:r>
        <w:rPr>
          <w:rFonts w:hint="eastAsia" w:ascii="仿宋_GB2312" w:eastAsia="仿宋_GB2312"/>
          <w:color w:val="auto"/>
          <w:spacing w:val="0"/>
          <w:sz w:val="32"/>
          <w:szCs w:val="32"/>
          <w:highlight w:val="none"/>
          <w:lang w:eastAsia="zh-CN"/>
        </w:rPr>
        <w:t>万元，决算数</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万元，预决算差异率89.27%，主要原因是：</w:t>
      </w:r>
      <w:r>
        <w:rPr>
          <w:rFonts w:hint="eastAsia" w:ascii="仿宋_GB2312" w:eastAsia="仿宋_GB2312"/>
          <w:color w:val="auto"/>
          <w:spacing w:val="0"/>
          <w:sz w:val="32"/>
          <w:szCs w:val="32"/>
          <w:highlight w:val="none"/>
          <w:lang w:val="en-US" w:eastAsia="zh-CN"/>
        </w:rPr>
        <w:t>一是</w:t>
      </w:r>
      <w:r>
        <w:rPr>
          <w:rFonts w:hint="eastAsia" w:ascii="仿宋_GB2312" w:eastAsia="仿宋_GB2312"/>
          <w:color w:val="auto"/>
          <w:spacing w:val="0"/>
          <w:sz w:val="32"/>
          <w:szCs w:val="32"/>
          <w:highlight w:val="none"/>
          <w:lang w:eastAsia="zh-CN"/>
        </w:rPr>
        <w:t>2023年新疆维吾尔自治区伊斯兰教协会</w:t>
      </w:r>
      <w:r>
        <w:rPr>
          <w:rFonts w:hint="eastAsia" w:ascii="仿宋_GB2312" w:eastAsia="仿宋_GB2312"/>
          <w:color w:val="auto"/>
          <w:spacing w:val="0"/>
          <w:sz w:val="32"/>
          <w:szCs w:val="32"/>
          <w:highlight w:val="none"/>
          <w:lang w:val="en-US" w:eastAsia="zh-CN"/>
        </w:rPr>
        <w:t>追加办公场所运行维护费及其他项目经费157.46万元；二是人员调动，工资调整，工资福利支出增加74.69万元</w:t>
      </w:r>
      <w:r>
        <w:rPr>
          <w:rFonts w:hint="eastAsia" w:ascii="仿宋_GB2312" w:eastAsia="仿宋_GB2312"/>
          <w:color w:val="auto"/>
          <w:spacing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6" w:name="_Toc20360"/>
      <w:bookmarkStart w:id="17" w:name="_Toc13833"/>
      <w:r>
        <w:rPr>
          <w:rFonts w:hint="eastAsia" w:ascii="黑体" w:hAnsi="黑体" w:eastAsia="黑体" w:cs="宋体"/>
          <w:bCs/>
          <w:color w:val="auto"/>
          <w:kern w:val="0"/>
          <w:sz w:val="32"/>
          <w:szCs w:val="32"/>
          <w:highlight w:val="none"/>
          <w:lang w:eastAsia="zh-CN"/>
        </w:rPr>
        <w:t>五、一般公共预算财政拨款支出决算情况说明</w:t>
      </w:r>
      <w:bookmarkEnd w:id="16"/>
      <w:bookmarkEnd w:id="1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lang w:eastAsia="zh-CN"/>
        </w:rPr>
      </w:pPr>
      <w:r>
        <w:rPr>
          <w:rFonts w:hint="eastAsia" w:ascii="黑体" w:hAnsi="黑体" w:eastAsia="黑体"/>
          <w:color w:val="auto"/>
          <w:sz w:val="32"/>
          <w:szCs w:val="32"/>
          <w:highlight w:val="none"/>
          <w:lang w:eastAsia="zh-CN"/>
        </w:rPr>
        <w:t>（一）一般公共预算财政拨款支出决算总体情况</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jc w:val="left"/>
        <w:textAlignment w:val="auto"/>
        <w:rPr>
          <w:rFonts w:hint="default" w:ascii="仿宋_GB2312" w:eastAsia="仿宋_GB2312"/>
          <w:color w:val="auto"/>
          <w:spacing w:val="0"/>
          <w:sz w:val="32"/>
          <w:szCs w:val="32"/>
          <w:highlight w:val="none"/>
          <w:lang w:val="en-US" w:eastAsia="zh-CN"/>
        </w:rPr>
      </w:pPr>
      <w:r>
        <w:rPr>
          <w:rFonts w:hint="eastAsia" w:ascii="仿宋_GB2312" w:eastAsia="仿宋_GB2312"/>
          <w:color w:val="auto"/>
          <w:spacing w:val="0"/>
          <w:sz w:val="32"/>
          <w:szCs w:val="32"/>
          <w:highlight w:val="none"/>
          <w:lang w:eastAsia="zh-CN"/>
        </w:rPr>
        <w:t>2023年度一般公共预算财政拨款支出492.21万元，占本年支出合计的</w:t>
      </w:r>
      <w:r>
        <w:rPr>
          <w:rFonts w:hint="eastAsia" w:ascii="仿宋_GB2312" w:eastAsia="仿宋_GB2312"/>
          <w:color w:val="auto"/>
          <w:spacing w:val="0"/>
          <w:sz w:val="32"/>
          <w:szCs w:val="32"/>
          <w:highlight w:val="none"/>
          <w:lang w:val="zh-CN" w:eastAsia="zh-CN"/>
        </w:rPr>
        <w:t>98.19%</w:t>
      </w:r>
      <w:r>
        <w:rPr>
          <w:rFonts w:hint="eastAsia" w:ascii="仿宋_GB2312" w:eastAsia="仿宋_GB2312"/>
          <w:color w:val="auto"/>
          <w:spacing w:val="0"/>
          <w:sz w:val="32"/>
          <w:szCs w:val="32"/>
          <w:highlight w:val="none"/>
          <w:lang w:eastAsia="zh-CN"/>
        </w:rPr>
        <w:t>。与上年相比，</w:t>
      </w:r>
      <w:r>
        <w:rPr>
          <w:rFonts w:hint="eastAsia" w:ascii="仿宋_GB2312" w:eastAsia="仿宋_GB2312"/>
          <w:color w:val="auto"/>
          <w:spacing w:val="0"/>
          <w:sz w:val="32"/>
          <w:szCs w:val="32"/>
          <w:highlight w:val="none"/>
          <w:lang w:val="zh-CN" w:eastAsia="zh-CN"/>
        </w:rPr>
        <w:t>增加492.21万元</w:t>
      </w:r>
      <w:r>
        <w:rPr>
          <w:rFonts w:hint="eastAsia" w:ascii="仿宋_GB2312" w:eastAsia="仿宋_GB2312"/>
          <w:color w:val="auto"/>
          <w:spacing w:val="0"/>
          <w:sz w:val="32"/>
          <w:szCs w:val="32"/>
          <w:highlight w:val="none"/>
          <w:lang w:eastAsia="zh-CN"/>
        </w:rPr>
        <w:t>，</w:t>
      </w:r>
      <w:r>
        <w:rPr>
          <w:rFonts w:hint="eastAsia" w:ascii="仿宋_GB2312" w:eastAsia="仿宋_GB2312"/>
          <w:color w:val="auto"/>
          <w:spacing w:val="0"/>
          <w:sz w:val="32"/>
          <w:szCs w:val="32"/>
          <w:highlight w:val="none"/>
          <w:lang w:val="en-US" w:eastAsia="zh-CN"/>
        </w:rPr>
        <w:t>增长100.00%,</w:t>
      </w:r>
      <w:r>
        <w:rPr>
          <w:rFonts w:hint="eastAsia" w:ascii="仿宋_GB2312" w:eastAsia="仿宋_GB2312"/>
          <w:color w:val="auto"/>
          <w:spacing w:val="0"/>
          <w:sz w:val="32"/>
          <w:szCs w:val="32"/>
          <w:highlight w:val="none"/>
          <w:lang w:eastAsia="zh-CN"/>
        </w:rPr>
        <w:t>主要原因是：2023年，新疆维吾尔自治区伊斯兰教协会首次编报部门决算，2022年度收入支出总体情况汇总在自治区民委（宗教事务局）部门决算中。与年初预算相比，年初预算数</w:t>
      </w:r>
      <w:r>
        <w:rPr>
          <w:rFonts w:hint="eastAsia" w:ascii="仿宋_GB2312" w:eastAsia="仿宋_GB2312"/>
          <w:color w:val="auto"/>
          <w:spacing w:val="0"/>
          <w:sz w:val="32"/>
          <w:szCs w:val="32"/>
          <w:highlight w:val="none"/>
          <w:lang w:val="zh-CN" w:eastAsia="zh-CN"/>
        </w:rPr>
        <w:t>260.06</w:t>
      </w:r>
      <w:r>
        <w:rPr>
          <w:rFonts w:hint="eastAsia" w:ascii="仿宋_GB2312" w:eastAsia="仿宋_GB2312"/>
          <w:color w:val="auto"/>
          <w:spacing w:val="0"/>
          <w:sz w:val="32"/>
          <w:szCs w:val="32"/>
          <w:highlight w:val="none"/>
          <w:lang w:eastAsia="zh-CN"/>
        </w:rPr>
        <w:t>万元，决算数</w:t>
      </w:r>
      <w:r>
        <w:rPr>
          <w:rFonts w:hint="eastAsia" w:ascii="仿宋_GB2312" w:eastAsia="仿宋_GB2312"/>
          <w:color w:val="auto"/>
          <w:spacing w:val="0"/>
          <w:sz w:val="32"/>
          <w:szCs w:val="32"/>
          <w:highlight w:val="none"/>
          <w:lang w:val="zh-CN" w:eastAsia="zh-CN"/>
        </w:rPr>
        <w:t>492.21</w:t>
      </w:r>
      <w:r>
        <w:rPr>
          <w:rFonts w:hint="eastAsia" w:ascii="仿宋_GB2312" w:eastAsia="仿宋_GB2312"/>
          <w:color w:val="auto"/>
          <w:spacing w:val="0"/>
          <w:sz w:val="32"/>
          <w:szCs w:val="32"/>
          <w:highlight w:val="none"/>
          <w:lang w:eastAsia="zh-CN"/>
        </w:rPr>
        <w:t>万元，预决算差异率</w:t>
      </w:r>
      <w:r>
        <w:rPr>
          <w:rFonts w:hint="eastAsia" w:ascii="仿宋_GB2312" w:eastAsia="仿宋_GB2312"/>
          <w:color w:val="auto"/>
          <w:spacing w:val="0"/>
          <w:sz w:val="32"/>
          <w:szCs w:val="32"/>
          <w:highlight w:val="none"/>
          <w:lang w:val="zh-CN" w:eastAsia="zh-CN"/>
        </w:rPr>
        <w:t>89.27%</w:t>
      </w:r>
      <w:r>
        <w:rPr>
          <w:rFonts w:hint="eastAsia" w:ascii="仿宋_GB2312" w:eastAsia="仿宋_GB2312"/>
          <w:color w:val="auto"/>
          <w:spacing w:val="0"/>
          <w:sz w:val="32"/>
          <w:szCs w:val="32"/>
          <w:highlight w:val="none"/>
          <w:lang w:eastAsia="zh-CN"/>
        </w:rPr>
        <w:t>，主要原因是：</w:t>
      </w:r>
      <w:r>
        <w:rPr>
          <w:rFonts w:hint="eastAsia" w:ascii="仿宋_GB2312" w:eastAsia="仿宋_GB2312"/>
          <w:color w:val="auto"/>
          <w:spacing w:val="0"/>
          <w:sz w:val="32"/>
          <w:szCs w:val="32"/>
          <w:highlight w:val="none"/>
          <w:lang w:val="en-US" w:eastAsia="zh-CN"/>
        </w:rPr>
        <w:t>一是</w:t>
      </w:r>
      <w:r>
        <w:rPr>
          <w:rFonts w:hint="eastAsia" w:ascii="仿宋_GB2312" w:eastAsia="仿宋_GB2312"/>
          <w:color w:val="auto"/>
          <w:spacing w:val="0"/>
          <w:sz w:val="32"/>
          <w:szCs w:val="32"/>
          <w:highlight w:val="none"/>
          <w:lang w:eastAsia="zh-CN"/>
        </w:rPr>
        <w:t>2023年新疆维吾尔自治区伊斯兰教协会</w:t>
      </w:r>
      <w:r>
        <w:rPr>
          <w:rFonts w:hint="eastAsia" w:ascii="仿宋_GB2312" w:eastAsia="仿宋_GB2312"/>
          <w:color w:val="auto"/>
          <w:spacing w:val="0"/>
          <w:sz w:val="32"/>
          <w:szCs w:val="32"/>
          <w:highlight w:val="none"/>
          <w:lang w:val="en-US" w:eastAsia="zh-CN"/>
        </w:rPr>
        <w:t>追加办公场所运行维护费及其他项目经费157.46万元；二是人员调动，工资调整，工资福利支出增加74.69万元</w:t>
      </w:r>
      <w:r>
        <w:rPr>
          <w:rFonts w:hint="eastAsia" w:ascii="仿宋_GB2312" w:eastAsia="仿宋_GB2312"/>
          <w:color w:val="auto"/>
          <w:spacing w:val="0"/>
          <w:sz w:val="32"/>
          <w:szCs w:val="32"/>
          <w:highlight w:val="none"/>
          <w:lang w:eastAsia="zh-CN"/>
        </w:rPr>
        <w:t>。</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lang w:eastAsia="zh-CN"/>
        </w:rPr>
      </w:pPr>
      <w:r>
        <w:rPr>
          <w:rFonts w:hint="eastAsia" w:ascii="黑体" w:hAnsi="黑体" w:eastAsia="黑体"/>
          <w:color w:val="auto"/>
          <w:sz w:val="32"/>
          <w:szCs w:val="32"/>
          <w:highlight w:val="none"/>
          <w:lang w:eastAsia="zh-CN"/>
        </w:rPr>
        <w:t>一般公共预算</w:t>
      </w:r>
      <w:r>
        <w:rPr>
          <w:rFonts w:hint="eastAsia" w:ascii="黑体" w:hAnsi="黑体" w:eastAsia="黑体"/>
          <w:color w:val="auto"/>
          <w:sz w:val="32"/>
          <w:szCs w:val="32"/>
          <w:highlight w:val="none"/>
          <w:lang w:val="en-US" w:eastAsia="zh-CN"/>
        </w:rPr>
        <w:t>财政拨款支出决算</w:t>
      </w:r>
      <w:r>
        <w:rPr>
          <w:rFonts w:hint="eastAsia" w:ascii="黑体" w:hAnsi="黑体" w:eastAsia="黑体"/>
          <w:color w:val="auto"/>
          <w:sz w:val="32"/>
          <w:szCs w:val="32"/>
          <w:highlight w:val="none"/>
          <w:lang w:eastAsia="zh-CN"/>
        </w:rPr>
        <w:t>结构情况</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default" w:ascii="仿宋_GB2312" w:hAnsi="Times New Roman" w:eastAsia="仿宋_GB2312" w:cs="Times New Roman"/>
          <w:color w:val="auto"/>
          <w:spacing w:val="0"/>
          <w:kern w:val="2"/>
          <w:sz w:val="32"/>
          <w:szCs w:val="32"/>
          <w:lang w:val="zh-CN" w:eastAsia="zh-CN" w:bidi="ar-SA"/>
        </w:rPr>
        <w:t>1.</w:t>
      </w:r>
      <w:r>
        <w:rPr>
          <w:rFonts w:hint="default" w:ascii="仿宋_GB2312" w:hAnsi="Times New Roman" w:eastAsia="仿宋_GB2312" w:cs="Times New Roman"/>
          <w:color w:val="auto"/>
          <w:spacing w:val="0"/>
          <w:kern w:val="2"/>
          <w:sz w:val="32"/>
          <w:szCs w:val="32"/>
          <w:highlight w:val="none"/>
          <w:lang w:val="zh-CN" w:eastAsia="zh-CN" w:bidi="ar-SA"/>
        </w:rPr>
        <w:t>一般公共服务支出（类）</w:t>
      </w:r>
      <w:r>
        <w:rPr>
          <w:rFonts w:hint="eastAsia" w:ascii="仿宋_GB2312" w:hAnsi="Times New Roman" w:eastAsia="仿宋_GB2312" w:cs="Times New Roman"/>
          <w:color w:val="auto"/>
          <w:spacing w:val="0"/>
          <w:kern w:val="2"/>
          <w:sz w:val="32"/>
          <w:szCs w:val="32"/>
          <w:highlight w:val="none"/>
          <w:lang w:val="zh-CN" w:eastAsia="zh-CN" w:bidi="ar-SA"/>
        </w:rPr>
        <w:t>409.90</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83.28</w:t>
      </w:r>
      <w:r>
        <w:rPr>
          <w:rFonts w:hint="default" w:ascii="仿宋_GB2312" w:hAnsi="Times New Roman" w:eastAsia="仿宋_GB2312" w:cs="Times New Roman"/>
          <w:color w:val="auto"/>
          <w:spacing w:val="0"/>
          <w:kern w:val="2"/>
          <w:sz w:val="32"/>
          <w:szCs w:val="32"/>
          <w:highlight w:val="none"/>
          <w:lang w:val="zh-CN" w:eastAsia="zh-CN" w:bidi="ar-SA"/>
        </w:rPr>
        <w:t>%；</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eastAsia" w:ascii="仿宋_GB2312" w:eastAsia="仿宋_GB2312" w:cs="Times New Roman"/>
          <w:color w:val="auto"/>
          <w:spacing w:val="0"/>
          <w:kern w:val="2"/>
          <w:sz w:val="32"/>
          <w:szCs w:val="32"/>
          <w:lang w:val="en-US" w:eastAsia="zh-CN" w:bidi="ar-SA"/>
        </w:rPr>
        <w:t>2</w:t>
      </w:r>
      <w:r>
        <w:rPr>
          <w:rFonts w:hint="default" w:ascii="仿宋_GB2312" w:hAnsi="Times New Roman" w:eastAsia="仿宋_GB2312" w:cs="Times New Roman"/>
          <w:color w:val="auto"/>
          <w:spacing w:val="0"/>
          <w:kern w:val="2"/>
          <w:sz w:val="32"/>
          <w:szCs w:val="32"/>
          <w:lang w:val="zh-CN" w:eastAsia="zh-CN" w:bidi="ar-SA"/>
        </w:rPr>
        <w:t>.</w:t>
      </w:r>
      <w:r>
        <w:rPr>
          <w:rFonts w:hint="default" w:ascii="仿宋_GB2312" w:hAnsi="Times New Roman" w:eastAsia="仿宋_GB2312" w:cs="Times New Roman"/>
          <w:color w:val="auto"/>
          <w:spacing w:val="0"/>
          <w:kern w:val="2"/>
          <w:sz w:val="32"/>
          <w:szCs w:val="32"/>
          <w:highlight w:val="none"/>
          <w:lang w:val="zh-CN" w:eastAsia="zh-CN" w:bidi="ar-SA"/>
        </w:rPr>
        <w:t>社会保障和就业支出（类）</w:t>
      </w:r>
      <w:r>
        <w:rPr>
          <w:rFonts w:hint="eastAsia" w:ascii="仿宋_GB2312" w:hAnsi="Times New Roman" w:eastAsia="仿宋_GB2312" w:cs="Times New Roman"/>
          <w:color w:val="auto"/>
          <w:spacing w:val="0"/>
          <w:kern w:val="2"/>
          <w:sz w:val="32"/>
          <w:szCs w:val="32"/>
          <w:highlight w:val="none"/>
          <w:lang w:val="zh-CN" w:eastAsia="zh-CN" w:bidi="ar-SA"/>
        </w:rPr>
        <w:t>45.28</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9.20</w:t>
      </w:r>
      <w:r>
        <w:rPr>
          <w:rFonts w:hint="default" w:ascii="仿宋_GB2312" w:hAnsi="Times New Roman" w:eastAsia="仿宋_GB2312" w:cs="Times New Roman"/>
          <w:color w:val="auto"/>
          <w:spacing w:val="0"/>
          <w:kern w:val="2"/>
          <w:sz w:val="32"/>
          <w:szCs w:val="32"/>
          <w:highlight w:val="none"/>
          <w:lang w:val="zh-CN" w:eastAsia="zh-CN" w:bidi="ar-SA"/>
        </w:rPr>
        <w:t>%；</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eastAsia" w:ascii="仿宋_GB2312" w:eastAsia="仿宋_GB2312" w:cs="Times New Roman"/>
          <w:color w:val="auto"/>
          <w:spacing w:val="0"/>
          <w:kern w:val="2"/>
          <w:sz w:val="32"/>
          <w:szCs w:val="32"/>
          <w:lang w:val="en-US" w:eastAsia="zh-CN" w:bidi="ar-SA"/>
        </w:rPr>
        <w:t>3</w:t>
      </w:r>
      <w:r>
        <w:rPr>
          <w:rFonts w:hint="default" w:ascii="仿宋_GB2312" w:hAnsi="Times New Roman" w:eastAsia="仿宋_GB2312" w:cs="Times New Roman"/>
          <w:color w:val="auto"/>
          <w:spacing w:val="0"/>
          <w:kern w:val="2"/>
          <w:sz w:val="32"/>
          <w:szCs w:val="32"/>
          <w:lang w:val="zh-CN" w:eastAsia="zh-CN" w:bidi="ar-SA"/>
        </w:rPr>
        <w:t>.</w:t>
      </w:r>
      <w:r>
        <w:rPr>
          <w:rFonts w:hint="default" w:ascii="仿宋_GB2312" w:hAnsi="Times New Roman" w:eastAsia="仿宋_GB2312" w:cs="Times New Roman"/>
          <w:color w:val="auto"/>
          <w:spacing w:val="0"/>
          <w:kern w:val="2"/>
          <w:sz w:val="32"/>
          <w:szCs w:val="32"/>
          <w:highlight w:val="none"/>
          <w:lang w:val="zh-CN" w:eastAsia="zh-CN" w:bidi="ar-SA"/>
        </w:rPr>
        <w:t>卫生健康支出（类）</w:t>
      </w:r>
      <w:r>
        <w:rPr>
          <w:rFonts w:hint="eastAsia" w:ascii="仿宋_GB2312" w:hAnsi="Times New Roman" w:eastAsia="仿宋_GB2312" w:cs="Times New Roman"/>
          <w:color w:val="auto"/>
          <w:spacing w:val="0"/>
          <w:kern w:val="2"/>
          <w:sz w:val="32"/>
          <w:szCs w:val="32"/>
          <w:highlight w:val="none"/>
          <w:lang w:val="zh-CN" w:eastAsia="zh-CN" w:bidi="ar-SA"/>
        </w:rPr>
        <w:t>20.26</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4.12</w:t>
      </w:r>
      <w:r>
        <w:rPr>
          <w:rFonts w:hint="default" w:ascii="仿宋_GB2312" w:hAnsi="Times New Roman" w:eastAsia="仿宋_GB2312" w:cs="Times New Roman"/>
          <w:color w:val="auto"/>
          <w:spacing w:val="0"/>
          <w:kern w:val="2"/>
          <w:sz w:val="32"/>
          <w:szCs w:val="32"/>
          <w:highlight w:val="none"/>
          <w:lang w:val="zh-CN" w:eastAsia="zh-CN" w:bidi="ar-SA"/>
        </w:rPr>
        <w:t>%；</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eastAsia" w:ascii="仿宋_GB2312" w:eastAsia="仿宋_GB2312" w:cs="Times New Roman"/>
          <w:color w:val="auto"/>
          <w:spacing w:val="0"/>
          <w:kern w:val="2"/>
          <w:sz w:val="32"/>
          <w:szCs w:val="32"/>
          <w:lang w:val="en-US" w:eastAsia="zh-CN" w:bidi="ar-SA"/>
        </w:rPr>
        <w:t>4</w:t>
      </w:r>
      <w:r>
        <w:rPr>
          <w:rFonts w:hint="default" w:ascii="仿宋_GB2312" w:hAnsi="Times New Roman" w:eastAsia="仿宋_GB2312" w:cs="Times New Roman"/>
          <w:color w:val="auto"/>
          <w:spacing w:val="0"/>
          <w:kern w:val="2"/>
          <w:sz w:val="32"/>
          <w:szCs w:val="32"/>
          <w:lang w:val="zh-CN" w:eastAsia="zh-CN" w:bidi="ar-SA"/>
        </w:rPr>
        <w:t>.</w:t>
      </w:r>
      <w:r>
        <w:rPr>
          <w:rFonts w:hint="default" w:ascii="仿宋_GB2312" w:hAnsi="Times New Roman" w:eastAsia="仿宋_GB2312" w:cs="Times New Roman"/>
          <w:color w:val="auto"/>
          <w:spacing w:val="0"/>
          <w:kern w:val="2"/>
          <w:sz w:val="32"/>
          <w:szCs w:val="32"/>
          <w:highlight w:val="none"/>
          <w:lang w:val="zh-CN" w:eastAsia="zh-CN" w:bidi="ar-SA"/>
        </w:rPr>
        <w:t>住房保障支出（类）</w:t>
      </w:r>
      <w:r>
        <w:rPr>
          <w:rFonts w:hint="eastAsia" w:ascii="仿宋_GB2312" w:hAnsi="Times New Roman" w:eastAsia="仿宋_GB2312" w:cs="Times New Roman"/>
          <w:color w:val="auto"/>
          <w:spacing w:val="0"/>
          <w:kern w:val="2"/>
          <w:sz w:val="32"/>
          <w:szCs w:val="32"/>
          <w:highlight w:val="none"/>
          <w:lang w:val="zh-CN" w:eastAsia="zh-CN" w:bidi="ar-SA"/>
        </w:rPr>
        <w:t>16.77</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3.41</w:t>
      </w:r>
      <w:r>
        <w:rPr>
          <w:rFonts w:hint="default" w:ascii="仿宋_GB2312" w:hAnsi="Times New Roman" w:eastAsia="仿宋_GB2312" w:cs="Times New Roman"/>
          <w:color w:val="auto"/>
          <w:spacing w:val="0"/>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lang w:eastAsia="zh-CN"/>
        </w:rPr>
      </w:pPr>
      <w:r>
        <w:rPr>
          <w:rFonts w:hint="eastAsia" w:ascii="黑体" w:hAnsi="黑体" w:eastAsia="黑体"/>
          <w:color w:val="auto"/>
          <w:sz w:val="32"/>
          <w:szCs w:val="32"/>
          <w:highlight w:val="none"/>
          <w:lang w:eastAsia="zh-CN"/>
        </w:rPr>
        <w:t>（三）一般公共预算财政拨款支出决算具体情况</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1.一般公共服务支出（类）统战事务（款）宗教事务（项）:支出决算数为201.39</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201.39</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2.卫生健康支出（类）行政事业单位医疗（款）行政单位医疗（项）:支出决算数为8.45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8.45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3.卫生健康支出（类）行政事业单位医疗（款）事业单位医疗（项）:支出决算数为2.03</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2.03</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4.卫生健康支出（类）行政事业单位医疗（款）公务员医疗补助（项）:支出决算数为9.78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9.78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5.一般公共服务支出（类）统战事务（款）事业运行（项）:支出决算数为39.12</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39.12</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6.住房保障支出（类）住房改革支出（款）住房公积金（项）:支出决算数为16.77</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16.77</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7.社会保障和就业支出（类）行政事业单位养老支出（款）行政单位离退休（项）:支出决算数为14.88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14.88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8.社会保障和就业支出（类）行政事业单位养老支出（款）机关事业单位职业年金缴费支出（项）:支出决算数为8.05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8.05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9.一般公共服务支出（类）统战事务（款）行政运行（项）:支出决算数为169.40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169.40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10.社会保障和就业支出（类）行政事业单位养老支出（款）机关事业单位基本养老保险缴费支出（项）:支出决算数为22.36</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22.36</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w:t>
      </w:r>
      <w:r>
        <w:rPr>
          <w:rFonts w:hint="eastAsia" w:eastAsia="仿宋_GB2312" w:cs="Times New Roman"/>
          <w:color w:val="auto"/>
          <w:kern w:val="2"/>
          <w:sz w:val="32"/>
          <w:szCs w:val="32"/>
          <w:highlight w:val="none"/>
          <w:lang w:val="en-US" w:eastAsia="zh-CN" w:bidi="ar-SA"/>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eastAsia="zh-CN"/>
        </w:rPr>
        <w:t>六、一般公共预算财政拨款基本支出决算情况说明</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pacing w:val="0"/>
          <w:sz w:val="32"/>
          <w:szCs w:val="32"/>
          <w:highlight w:val="none"/>
          <w:lang w:eastAsia="zh-CN"/>
        </w:rPr>
        <w:t>2023年度</w:t>
      </w:r>
      <w:r>
        <w:rPr>
          <w:rFonts w:hint="eastAsia" w:ascii="仿宋_GB2312" w:eastAsia="仿宋_GB2312"/>
          <w:color w:val="auto"/>
          <w:sz w:val="32"/>
          <w:szCs w:val="32"/>
          <w:highlight w:val="none"/>
        </w:rPr>
        <w:t>一般公共预算财政拨款基本支出</w:t>
      </w:r>
      <w:r>
        <w:rPr>
          <w:rFonts w:hint="eastAsia" w:ascii="仿宋_GB2312" w:eastAsia="仿宋_GB2312"/>
          <w:color w:val="auto"/>
          <w:sz w:val="32"/>
          <w:szCs w:val="32"/>
          <w:highlight w:val="none"/>
          <w:lang w:eastAsia="zh-CN"/>
        </w:rPr>
        <w:t>290.82</w:t>
      </w:r>
      <w:r>
        <w:rPr>
          <w:rFonts w:hint="eastAsia" w:ascii="仿宋_GB2312" w:eastAsia="仿宋_GB2312"/>
          <w:color w:val="auto"/>
          <w:sz w:val="32"/>
          <w:szCs w:val="32"/>
          <w:highlight w:val="none"/>
        </w:rPr>
        <w:t>万元，其中：人员经费</w:t>
      </w:r>
      <w:r>
        <w:rPr>
          <w:rFonts w:hint="eastAsia" w:ascii="仿宋_GB2312" w:eastAsia="仿宋_GB2312"/>
          <w:color w:val="auto"/>
          <w:sz w:val="32"/>
          <w:szCs w:val="32"/>
          <w:highlight w:val="none"/>
          <w:lang w:eastAsia="zh-CN"/>
        </w:rPr>
        <w:t>266.38</w:t>
      </w:r>
      <w:r>
        <w:rPr>
          <w:rFonts w:hint="eastAsia" w:ascii="仿宋_GB2312" w:eastAsia="仿宋_GB2312"/>
          <w:color w:val="auto"/>
          <w:sz w:val="32"/>
          <w:szCs w:val="32"/>
          <w:highlight w:val="none"/>
        </w:rPr>
        <w:t>万元，包括：</w:t>
      </w:r>
      <w:r>
        <w:rPr>
          <w:rFonts w:hint="eastAsia" w:ascii="仿宋_GB2312" w:eastAsia="仿宋_GB2312"/>
          <w:color w:val="auto"/>
          <w:sz w:val="32"/>
          <w:szCs w:val="32"/>
          <w:highlight w:val="none"/>
          <w:lang w:val="en-US" w:eastAsia="zh-CN"/>
        </w:rPr>
        <w:t>基本工资、津贴补贴、奖金、绩效工资、机关事业单位基本养老保险缴费、职业年金缴费、职工基本医疗保险缴费、公务员医疗补助缴费、其他社会保障缴费、住房公积金、退休费、抚恤金、生活补助、其他对个人和家庭的补助。</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hAnsi="宋体" w:eastAsia="仿宋_GB2312" w:cs="宋体"/>
          <w:color w:val="auto"/>
          <w:kern w:val="0"/>
          <w:sz w:val="32"/>
          <w:szCs w:val="32"/>
          <w:highlight w:val="none"/>
        </w:rPr>
      </w:pPr>
      <w:r>
        <w:rPr>
          <w:rFonts w:hint="eastAsia" w:ascii="仿宋_GB2312" w:eastAsia="仿宋_GB2312"/>
          <w:color w:val="auto"/>
          <w:sz w:val="32"/>
          <w:szCs w:val="32"/>
          <w:highlight w:val="none"/>
        </w:rPr>
        <w:t>公用经费</w:t>
      </w:r>
      <w:r>
        <w:rPr>
          <w:rFonts w:hint="eastAsia" w:ascii="仿宋_GB2312" w:eastAsia="仿宋_GB2312"/>
          <w:color w:val="auto"/>
          <w:sz w:val="32"/>
          <w:szCs w:val="32"/>
          <w:highlight w:val="none"/>
          <w:lang w:eastAsia="zh-CN"/>
        </w:rPr>
        <w:t>24.44</w:t>
      </w:r>
      <w:r>
        <w:rPr>
          <w:rFonts w:hint="eastAsia" w:ascii="仿宋_GB2312" w:eastAsia="仿宋_GB2312"/>
          <w:color w:val="auto"/>
          <w:sz w:val="32"/>
          <w:szCs w:val="32"/>
          <w:highlight w:val="none"/>
        </w:rPr>
        <w:t>万元，包括：</w:t>
      </w:r>
      <w:r>
        <w:rPr>
          <w:rFonts w:hint="eastAsia" w:ascii="仿宋_GB2312" w:eastAsia="仿宋_GB2312"/>
          <w:color w:val="auto"/>
          <w:sz w:val="32"/>
          <w:szCs w:val="32"/>
          <w:highlight w:val="none"/>
          <w:lang w:val="en-US" w:eastAsia="zh-CN"/>
        </w:rPr>
        <w:t>办公费、水费、电费、邮电费、差旅费、工会经费、福利费、公务用车运行维护费、其他商品和服务支出。</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val="en-US" w:eastAsia="zh-CN"/>
        </w:rPr>
        <w:t>七、</w:t>
      </w:r>
      <w:r>
        <w:rPr>
          <w:rFonts w:hint="eastAsia" w:ascii="黑体" w:hAnsi="黑体" w:eastAsia="黑体" w:cs="宋体"/>
          <w:bCs/>
          <w:color w:val="auto"/>
          <w:kern w:val="0"/>
          <w:sz w:val="32"/>
          <w:szCs w:val="32"/>
          <w:highlight w:val="none"/>
          <w:lang w:eastAsia="zh-CN"/>
        </w:rPr>
        <w:t>财政拨款</w:t>
      </w:r>
      <w:r>
        <w:rPr>
          <w:rFonts w:hint="eastAsia" w:ascii="黑体" w:hAnsi="黑体" w:eastAsia="黑体" w:cs="宋体"/>
          <w:bCs/>
          <w:color w:val="auto"/>
          <w:kern w:val="0"/>
          <w:sz w:val="32"/>
          <w:szCs w:val="32"/>
          <w:highlight w:val="none"/>
        </w:rPr>
        <w:t>“三公”经费支出</w:t>
      </w:r>
      <w:r>
        <w:rPr>
          <w:rFonts w:hint="eastAsia" w:ascii="黑体" w:hAnsi="黑体" w:eastAsia="黑体" w:cs="宋体"/>
          <w:bCs/>
          <w:color w:val="auto"/>
          <w:kern w:val="0"/>
          <w:sz w:val="32"/>
          <w:szCs w:val="32"/>
          <w:highlight w:val="none"/>
          <w:lang w:eastAsia="zh-CN"/>
        </w:rPr>
        <w:t>决算</w:t>
      </w:r>
      <w:r>
        <w:rPr>
          <w:rFonts w:hint="eastAsia" w:ascii="黑体" w:hAnsi="黑体" w:eastAsia="黑体" w:cs="宋体"/>
          <w:bCs/>
          <w:color w:val="auto"/>
          <w:kern w:val="0"/>
          <w:sz w:val="32"/>
          <w:szCs w:val="32"/>
          <w:highlight w:val="none"/>
        </w:rPr>
        <w:t>情况</w:t>
      </w:r>
      <w:r>
        <w:rPr>
          <w:rFonts w:hint="eastAsia" w:ascii="黑体" w:hAnsi="黑体" w:eastAsia="黑体" w:cs="宋体"/>
          <w:bCs/>
          <w:color w:val="auto"/>
          <w:kern w:val="0"/>
          <w:sz w:val="32"/>
          <w:szCs w:val="32"/>
          <w:highlight w:val="none"/>
          <w:lang w:eastAsia="zh-CN"/>
        </w:rPr>
        <w:t>说明</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zh-CN" w:eastAsia="zh-CN"/>
        </w:rPr>
        <w:t>2023年度</w:t>
      </w:r>
      <w:r>
        <w:rPr>
          <w:rFonts w:hint="eastAsia" w:ascii="仿宋_GB2312" w:eastAsia="仿宋_GB2312"/>
          <w:color w:val="auto"/>
          <w:sz w:val="32"/>
          <w:szCs w:val="32"/>
          <w:highlight w:val="none"/>
          <w:lang w:val="en-US" w:eastAsia="zh-CN"/>
        </w:rPr>
        <w:t>财政拨款</w:t>
      </w:r>
      <w:r>
        <w:rPr>
          <w:rFonts w:hint="eastAsia" w:ascii="仿宋_GB2312" w:eastAsia="仿宋_GB2312"/>
          <w:color w:val="auto"/>
          <w:sz w:val="32"/>
          <w:szCs w:val="32"/>
          <w:highlight w:val="none"/>
          <w:lang w:val="zh-CN" w:eastAsia="zh-CN"/>
        </w:rPr>
        <w:t>“三公”经费支出4.02万元，</w:t>
      </w:r>
      <w:r>
        <w:rPr>
          <w:rFonts w:hint="eastAsia" w:ascii="仿宋_GB2312" w:eastAsia="仿宋_GB2312"/>
          <w:color w:val="auto"/>
          <w:sz w:val="32"/>
          <w:szCs w:val="32"/>
          <w:highlight w:val="none"/>
          <w:lang w:val="en-US" w:eastAsia="zh-CN"/>
        </w:rPr>
        <w:t>比上年</w:t>
      </w:r>
      <w:r>
        <w:rPr>
          <w:rFonts w:hint="eastAsia" w:ascii="仿宋_GB2312" w:eastAsia="仿宋_GB2312"/>
          <w:color w:val="auto"/>
          <w:sz w:val="32"/>
          <w:szCs w:val="32"/>
          <w:highlight w:val="none"/>
          <w:lang w:val="zh-CN" w:eastAsia="zh-CN"/>
        </w:rPr>
        <w:t>增加4.02万元，</w:t>
      </w:r>
      <w:r>
        <w:rPr>
          <w:rFonts w:hint="eastAsia" w:ascii="仿宋_GB2312" w:eastAsia="仿宋_GB2312"/>
          <w:color w:val="auto"/>
          <w:spacing w:val="0"/>
          <w:sz w:val="32"/>
          <w:szCs w:val="32"/>
          <w:highlight w:val="none"/>
          <w:lang w:val="en-US" w:eastAsia="zh-CN"/>
        </w:rPr>
        <w:t>增长100.00%,</w:t>
      </w:r>
      <w:r>
        <w:rPr>
          <w:rFonts w:hint="eastAsia" w:ascii="仿宋_GB2312" w:eastAsia="仿宋_GB2312"/>
          <w:color w:val="auto"/>
          <w:sz w:val="32"/>
          <w:szCs w:val="32"/>
          <w:highlight w:val="none"/>
          <w:lang w:val="zh-CN" w:eastAsia="zh-CN"/>
        </w:rPr>
        <w:t>主要原因是：2023年，新疆维吾尔自治区伊斯兰教协会首次编报部门决算，2022年度收入支出总体情况汇总在自治区民委（宗教事务局）部门决算中。其中：因公出国（境）费支出0.00万元，占0.00%，比上年增加0.00万元，</w:t>
      </w:r>
      <w:r>
        <w:rPr>
          <w:rFonts w:hint="eastAsia" w:ascii="仿宋_GB2312" w:eastAsia="仿宋_GB2312"/>
          <w:color w:val="auto"/>
          <w:spacing w:val="0"/>
          <w:sz w:val="32"/>
          <w:szCs w:val="32"/>
          <w:highlight w:val="none"/>
          <w:lang w:val="en-US" w:eastAsia="zh-CN"/>
        </w:rPr>
        <w:t>增长0.00%,</w:t>
      </w:r>
      <w:r>
        <w:rPr>
          <w:rFonts w:hint="eastAsia" w:ascii="仿宋_GB2312" w:eastAsia="仿宋_GB2312"/>
          <w:color w:val="auto"/>
          <w:sz w:val="32"/>
          <w:szCs w:val="32"/>
          <w:highlight w:val="none"/>
          <w:lang w:val="zh-CN" w:eastAsia="zh-CN"/>
        </w:rPr>
        <w:t>主要原因是：</w:t>
      </w:r>
      <w:r>
        <w:rPr>
          <w:rFonts w:hint="eastAsia" w:ascii="仿宋_GB2312" w:eastAsia="仿宋_GB2312"/>
          <w:color w:val="auto"/>
          <w:sz w:val="32"/>
          <w:szCs w:val="32"/>
          <w:highlight w:val="none"/>
          <w:lang w:val="en-US" w:eastAsia="zh-CN"/>
        </w:rPr>
        <w:t>无</w:t>
      </w:r>
      <w:r>
        <w:rPr>
          <w:rFonts w:hint="eastAsia" w:ascii="仿宋_GB2312" w:eastAsia="仿宋_GB2312"/>
          <w:color w:val="auto"/>
          <w:sz w:val="32"/>
          <w:szCs w:val="32"/>
          <w:highlight w:val="none"/>
          <w:lang w:val="zh-CN" w:eastAsia="zh-CN"/>
        </w:rPr>
        <w:t>因公出国（境）费；公务用车购置及运行维护费支出4.02万元，占100.00%，比上年增加4.02万元，</w:t>
      </w:r>
      <w:r>
        <w:rPr>
          <w:rFonts w:hint="eastAsia" w:ascii="仿宋_GB2312" w:eastAsia="仿宋_GB2312"/>
          <w:color w:val="auto"/>
          <w:spacing w:val="0"/>
          <w:sz w:val="32"/>
          <w:szCs w:val="32"/>
          <w:highlight w:val="none"/>
          <w:lang w:val="en-US" w:eastAsia="zh-CN"/>
        </w:rPr>
        <w:t>增长100.00%,</w:t>
      </w:r>
      <w:r>
        <w:rPr>
          <w:rFonts w:hint="eastAsia" w:ascii="仿宋_GB2312" w:eastAsia="仿宋_GB2312"/>
          <w:color w:val="auto"/>
          <w:sz w:val="32"/>
          <w:szCs w:val="32"/>
          <w:highlight w:val="none"/>
          <w:lang w:val="zh-CN" w:eastAsia="zh-CN"/>
        </w:rPr>
        <w:t>主要原因是：2023年，新疆维吾尔自治区伊斯兰教协会首次编报部门决算，2022年度收入支出总体情况汇总在自治区民委（宗教事务局）部门决算中；公务接待费支出0.00万元，占0.00%，比上年增加0.00万元，</w:t>
      </w:r>
      <w:r>
        <w:rPr>
          <w:rFonts w:hint="eastAsia" w:ascii="仿宋_GB2312" w:eastAsia="仿宋_GB2312"/>
          <w:color w:val="auto"/>
          <w:spacing w:val="0"/>
          <w:sz w:val="32"/>
          <w:szCs w:val="32"/>
          <w:highlight w:val="none"/>
          <w:lang w:val="en-US" w:eastAsia="zh-CN"/>
        </w:rPr>
        <w:t>增长0.00%,</w:t>
      </w:r>
      <w:r>
        <w:rPr>
          <w:rFonts w:hint="eastAsia" w:ascii="仿宋_GB2312" w:eastAsia="仿宋_GB2312"/>
          <w:color w:val="auto"/>
          <w:sz w:val="32"/>
          <w:szCs w:val="32"/>
          <w:highlight w:val="none"/>
          <w:lang w:val="zh-CN" w:eastAsia="zh-CN"/>
        </w:rPr>
        <w:t>主要原因是：</w:t>
      </w:r>
      <w:r>
        <w:rPr>
          <w:rFonts w:hint="eastAsia" w:ascii="仿宋_GB2312" w:eastAsia="仿宋_GB2312"/>
          <w:color w:val="auto"/>
          <w:sz w:val="32"/>
          <w:szCs w:val="32"/>
          <w:highlight w:val="none"/>
          <w:lang w:val="en-US" w:eastAsia="zh-CN"/>
        </w:rPr>
        <w:t>无公务接待费。</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具体情况如下：</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因公出国（境）费支出0.00万元，</w:t>
      </w:r>
      <w:r>
        <w:rPr>
          <w:rFonts w:hint="eastAsia" w:ascii="仿宋_GB2312" w:eastAsia="仿宋_GB2312"/>
          <w:color w:val="auto"/>
          <w:sz w:val="32"/>
          <w:szCs w:val="32"/>
          <w:highlight w:val="none"/>
          <w:lang w:val="en-US" w:eastAsia="zh-CN"/>
        </w:rPr>
        <w:t>开支内容包括无</w:t>
      </w:r>
      <w:r>
        <w:rPr>
          <w:rFonts w:hint="eastAsia" w:ascii="仿宋_GB2312" w:eastAsia="仿宋_GB2312"/>
          <w:color w:val="auto"/>
          <w:sz w:val="32"/>
          <w:szCs w:val="32"/>
          <w:highlight w:val="none"/>
          <w:lang w:val="zh-CN" w:eastAsia="zh-CN"/>
        </w:rPr>
        <w:t>因公出国（境）费。单位全年安排的因公出国（境）团组0个，因公出国（境）0人次。</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zh-CN" w:eastAsia="zh-CN"/>
        </w:rPr>
        <w:t>公务用车购置及运行维护费4.02万元，其中：公务用车购置费0.00万元，公务用车运行维护费4.02万元。公务用车运行维护费开支内容包括</w:t>
      </w:r>
      <w:r>
        <w:rPr>
          <w:rFonts w:hint="eastAsia" w:ascii="仿宋_GB2312" w:eastAsia="仿宋_GB2312"/>
          <w:color w:val="auto"/>
          <w:sz w:val="32"/>
          <w:szCs w:val="32"/>
          <w:highlight w:val="none"/>
          <w:lang w:val="en-US" w:eastAsia="zh-CN"/>
        </w:rPr>
        <w:t>车辆维修费，车辆燃油费</w:t>
      </w:r>
      <w:r>
        <w:rPr>
          <w:rFonts w:hint="eastAsia" w:ascii="仿宋_GB2312" w:eastAsia="仿宋_GB2312"/>
          <w:color w:val="auto"/>
          <w:sz w:val="32"/>
          <w:szCs w:val="32"/>
          <w:highlight w:val="none"/>
          <w:lang w:val="zh-CN" w:eastAsia="zh-CN"/>
        </w:rPr>
        <w:t>。公务用车购置数0辆，公务用车保有量2辆。国有资产占用情况</w:t>
      </w:r>
      <w:r>
        <w:rPr>
          <w:rFonts w:hint="eastAsia" w:ascii="仿宋_GB2312" w:eastAsia="仿宋_GB2312"/>
          <w:color w:val="auto"/>
          <w:sz w:val="32"/>
          <w:szCs w:val="32"/>
          <w:highlight w:val="none"/>
          <w:lang w:val="en-US" w:eastAsia="zh-CN"/>
        </w:rPr>
        <w:t>中固定资产车辆</w:t>
      </w:r>
      <w:r>
        <w:rPr>
          <w:rFonts w:hint="eastAsia" w:ascii="仿宋_GB2312" w:eastAsia="仿宋_GB2312"/>
          <w:color w:val="auto"/>
          <w:sz w:val="32"/>
          <w:szCs w:val="32"/>
          <w:highlight w:val="none"/>
          <w:lang w:val="zh-CN" w:eastAsia="zh-CN"/>
        </w:rPr>
        <w:t>2辆，</w:t>
      </w:r>
      <w:r>
        <w:rPr>
          <w:rFonts w:hint="eastAsia" w:ascii="仿宋_GB2312" w:eastAsia="仿宋_GB2312"/>
          <w:color w:val="auto"/>
          <w:sz w:val="32"/>
          <w:szCs w:val="32"/>
          <w:highlight w:val="none"/>
          <w:lang w:val="en-US" w:eastAsia="zh-CN"/>
        </w:rPr>
        <w:t>与</w:t>
      </w:r>
      <w:r>
        <w:rPr>
          <w:rFonts w:hint="eastAsia" w:ascii="仿宋_GB2312" w:eastAsia="仿宋_GB2312"/>
          <w:color w:val="auto"/>
          <w:sz w:val="32"/>
          <w:szCs w:val="32"/>
          <w:highlight w:val="none"/>
          <w:lang w:val="zh-CN" w:eastAsia="zh-CN"/>
        </w:rPr>
        <w:t>公务用车</w:t>
      </w:r>
      <w:r>
        <w:rPr>
          <w:rFonts w:hint="eastAsia" w:ascii="仿宋_GB2312" w:eastAsia="仿宋_GB2312"/>
          <w:color w:val="auto"/>
          <w:sz w:val="32"/>
          <w:szCs w:val="32"/>
          <w:highlight w:val="none"/>
          <w:lang w:val="en-US" w:eastAsia="zh-CN"/>
        </w:rPr>
        <w:t>保有量无差异</w:t>
      </w:r>
      <w:r>
        <w:rPr>
          <w:rFonts w:hint="eastAsia" w:ascii="仿宋_GB2312" w:eastAsia="仿宋_GB2312"/>
          <w:color w:val="auto"/>
          <w:sz w:val="32"/>
          <w:szCs w:val="32"/>
          <w:highlight w:val="none"/>
          <w:lang w:val="zh-CN" w:eastAsia="zh-CN"/>
        </w:rPr>
        <w:t>。</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公务接待费0.00万元，</w:t>
      </w:r>
      <w:r>
        <w:rPr>
          <w:rFonts w:hint="eastAsia" w:ascii="仿宋_GB2312" w:eastAsia="仿宋_GB2312"/>
          <w:color w:val="auto"/>
          <w:sz w:val="32"/>
          <w:szCs w:val="32"/>
          <w:highlight w:val="none"/>
          <w:lang w:val="en-US" w:eastAsia="zh-CN"/>
        </w:rPr>
        <w:t>开支内容包括无公务接待费</w:t>
      </w:r>
      <w:r>
        <w:rPr>
          <w:rFonts w:hint="eastAsia" w:ascii="仿宋_GB2312" w:eastAsia="仿宋_GB2312"/>
          <w:color w:val="auto"/>
          <w:sz w:val="32"/>
          <w:szCs w:val="32"/>
          <w:highlight w:val="none"/>
          <w:lang w:val="zh-CN" w:eastAsia="zh-CN"/>
        </w:rPr>
        <w:t>。单位全年安排的国内公务接待0批次，0人次。</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default"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zh-CN" w:eastAsia="zh-CN"/>
        </w:rPr>
        <w:t>与</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预算相比</w:t>
      </w:r>
      <w:r>
        <w:rPr>
          <w:rFonts w:hint="eastAsia" w:ascii="仿宋_GB2312" w:eastAsia="仿宋_GB2312"/>
          <w:color w:val="auto"/>
          <w:sz w:val="32"/>
          <w:szCs w:val="32"/>
          <w:highlight w:val="none"/>
          <w:lang w:val="en-US" w:eastAsia="zh-CN"/>
        </w:rPr>
        <w:t>,</w:t>
      </w:r>
      <w:r>
        <w:rPr>
          <w:rFonts w:hint="eastAsia" w:ascii="仿宋_GB2312" w:eastAsia="仿宋_GB2312"/>
          <w:color w:val="auto"/>
          <w:sz w:val="32"/>
          <w:szCs w:val="32"/>
          <w:highlight w:val="none"/>
          <w:lang w:val="zh-CN" w:eastAsia="zh-CN"/>
        </w:rPr>
        <w:t>财政拨款“三公”经费支出</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预算数4.02万元，决算数4.02万元，预决算差异率0.00%。其中：因公出国（境）费</w:t>
      </w:r>
      <w:r>
        <w:rPr>
          <w:rFonts w:hint="eastAsia" w:ascii="仿宋_GB2312" w:eastAsia="仿宋_GB2312"/>
          <w:color w:val="auto"/>
          <w:sz w:val="32"/>
          <w:szCs w:val="32"/>
          <w:highlight w:val="none"/>
          <w:lang w:val="en-US" w:eastAsia="zh-CN"/>
        </w:rPr>
        <w:t>全年预算数</w:t>
      </w:r>
      <w:r>
        <w:rPr>
          <w:rFonts w:hint="eastAsia" w:ascii="仿宋_GB2312" w:eastAsia="仿宋_GB2312"/>
          <w:color w:val="auto"/>
          <w:sz w:val="32"/>
          <w:szCs w:val="32"/>
          <w:highlight w:val="none"/>
          <w:lang w:val="zh-CN" w:eastAsia="zh-CN"/>
        </w:rPr>
        <w:t>0.00万元，决算数0.00万元，预决算差异率0.00%，主要原因是：</w:t>
      </w:r>
      <w:r>
        <w:rPr>
          <w:rFonts w:hint="eastAsia" w:ascii="仿宋_GB2312" w:eastAsia="仿宋_GB2312"/>
          <w:color w:val="auto"/>
          <w:sz w:val="32"/>
          <w:szCs w:val="32"/>
          <w:highlight w:val="none"/>
          <w:lang w:val="en-US" w:eastAsia="zh-CN"/>
        </w:rPr>
        <w:t>无</w:t>
      </w:r>
      <w:r>
        <w:rPr>
          <w:rFonts w:hint="eastAsia" w:ascii="仿宋_GB2312" w:eastAsia="仿宋_GB2312"/>
          <w:color w:val="auto"/>
          <w:sz w:val="32"/>
          <w:szCs w:val="32"/>
          <w:highlight w:val="none"/>
          <w:lang w:val="zh-CN" w:eastAsia="zh-CN"/>
        </w:rPr>
        <w:t>因公出国（境）费；公务用车购置费</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预算数0.00万元，决算数0.00万元，预决算差异率0.00%，主要原因是：</w:t>
      </w:r>
      <w:r>
        <w:rPr>
          <w:rFonts w:hint="eastAsia" w:ascii="仿宋_GB2312" w:eastAsia="仿宋_GB2312"/>
          <w:color w:val="auto"/>
          <w:sz w:val="32"/>
          <w:szCs w:val="32"/>
          <w:highlight w:val="none"/>
          <w:lang w:val="en-US" w:eastAsia="zh-CN"/>
        </w:rPr>
        <w:t>无</w:t>
      </w:r>
      <w:r>
        <w:rPr>
          <w:rFonts w:hint="eastAsia" w:ascii="仿宋_GB2312" w:eastAsia="仿宋_GB2312"/>
          <w:color w:val="auto"/>
          <w:sz w:val="32"/>
          <w:szCs w:val="32"/>
          <w:highlight w:val="none"/>
          <w:lang w:val="zh-CN" w:eastAsia="zh-CN"/>
        </w:rPr>
        <w:t>公务用车购置费；公务用车运行费</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预算数4.02万元，决算数4.02万元，预决算差异率0.00%；主要原因是：</w:t>
      </w:r>
      <w:r>
        <w:rPr>
          <w:rFonts w:hint="eastAsia" w:ascii="仿宋_GB2312" w:eastAsia="仿宋_GB2312"/>
          <w:color w:val="auto"/>
          <w:sz w:val="32"/>
          <w:szCs w:val="32"/>
          <w:highlight w:val="none"/>
          <w:lang w:val="en-US" w:eastAsia="zh-CN"/>
        </w:rPr>
        <w:t>严控</w:t>
      </w:r>
      <w:r>
        <w:rPr>
          <w:rFonts w:hint="eastAsia" w:ascii="仿宋_GB2312" w:eastAsia="仿宋_GB2312"/>
          <w:color w:val="auto"/>
          <w:sz w:val="32"/>
          <w:szCs w:val="32"/>
          <w:highlight w:val="none"/>
          <w:lang w:val="zh-CN" w:eastAsia="zh-CN"/>
        </w:rPr>
        <w:t>“三公”经费支出，</w:t>
      </w:r>
      <w:r>
        <w:rPr>
          <w:rFonts w:hint="eastAsia" w:ascii="仿宋_GB2312" w:eastAsia="仿宋_GB2312"/>
          <w:color w:val="auto"/>
          <w:sz w:val="32"/>
          <w:szCs w:val="32"/>
          <w:highlight w:val="none"/>
          <w:lang w:val="en-US" w:eastAsia="zh-CN"/>
        </w:rPr>
        <w:t>按照</w:t>
      </w:r>
      <w:r>
        <w:rPr>
          <w:rFonts w:hint="eastAsia" w:ascii="仿宋_GB2312" w:eastAsia="仿宋_GB2312"/>
          <w:color w:val="auto"/>
          <w:sz w:val="32"/>
          <w:szCs w:val="32"/>
          <w:highlight w:val="none"/>
          <w:lang w:val="zh-CN" w:eastAsia="zh-CN"/>
        </w:rPr>
        <w:t>公务用车运行费</w:t>
      </w:r>
      <w:r>
        <w:rPr>
          <w:rFonts w:hint="eastAsia" w:ascii="仿宋_GB2312" w:eastAsia="仿宋_GB2312"/>
          <w:color w:val="auto"/>
          <w:sz w:val="32"/>
          <w:szCs w:val="32"/>
          <w:highlight w:val="none"/>
          <w:lang w:val="en-US" w:eastAsia="zh-CN"/>
        </w:rPr>
        <w:t>年度预算支出；</w:t>
      </w:r>
      <w:r>
        <w:rPr>
          <w:rFonts w:hint="eastAsia" w:ascii="仿宋_GB2312" w:eastAsia="仿宋_GB2312"/>
          <w:color w:val="auto"/>
          <w:sz w:val="32"/>
          <w:szCs w:val="32"/>
          <w:highlight w:val="none"/>
          <w:lang w:val="zh-CN" w:eastAsia="zh-CN"/>
        </w:rPr>
        <w:t>公务接待费</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预算数0.00万元，决算数0.00万元，预决算差异率0.00%，主要原因是：</w:t>
      </w:r>
      <w:r>
        <w:rPr>
          <w:rFonts w:hint="eastAsia" w:ascii="仿宋_GB2312" w:eastAsia="仿宋_GB2312"/>
          <w:color w:val="auto"/>
          <w:sz w:val="32"/>
          <w:szCs w:val="32"/>
          <w:highlight w:val="none"/>
          <w:lang w:val="en-US" w:eastAsia="zh-CN"/>
        </w:rPr>
        <w:t>无公务接待费。</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8" w:name="_Toc7927"/>
      <w:bookmarkStart w:id="19" w:name="_Toc5810"/>
      <w:r>
        <w:rPr>
          <w:rFonts w:hint="eastAsia" w:ascii="黑体" w:hAnsi="黑体" w:eastAsia="黑体" w:cs="宋体"/>
          <w:bCs/>
          <w:color w:val="auto"/>
          <w:kern w:val="0"/>
          <w:sz w:val="32"/>
          <w:szCs w:val="32"/>
          <w:highlight w:val="none"/>
          <w:lang w:val="en-US" w:eastAsia="zh-CN"/>
        </w:rPr>
        <w:t>八</w:t>
      </w:r>
      <w:r>
        <w:rPr>
          <w:rFonts w:hint="eastAsia" w:ascii="黑体" w:hAnsi="黑体" w:eastAsia="黑体" w:cs="宋体"/>
          <w:bCs/>
          <w:color w:val="auto"/>
          <w:kern w:val="0"/>
          <w:sz w:val="32"/>
          <w:szCs w:val="32"/>
          <w:highlight w:val="none"/>
          <w:lang w:eastAsia="zh-CN"/>
        </w:rPr>
        <w:t>、政府性基金预算财政拨款收入支出决算情况说明</w:t>
      </w:r>
      <w:bookmarkEnd w:id="18"/>
      <w:bookmarkEnd w:id="19"/>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我</w:t>
      </w:r>
      <w:r>
        <w:rPr>
          <w:rFonts w:hint="eastAsia" w:ascii="仿宋_GB2312" w:eastAsia="仿宋_GB2312"/>
          <w:color w:val="auto"/>
          <w:sz w:val="32"/>
          <w:szCs w:val="32"/>
          <w:highlight w:val="none"/>
          <w:lang w:val="en-US" w:eastAsia="zh-CN"/>
        </w:rPr>
        <w:t>单位</w:t>
      </w:r>
      <w:r>
        <w:rPr>
          <w:rFonts w:hint="eastAsia" w:ascii="仿宋_GB2312" w:eastAsia="仿宋_GB2312"/>
          <w:color w:val="auto"/>
          <w:sz w:val="32"/>
          <w:szCs w:val="32"/>
          <w:highlight w:val="none"/>
          <w:lang w:eastAsia="zh-CN"/>
        </w:rPr>
        <w:t>本年度无政府性基金预算财政拨款收入、支出</w:t>
      </w:r>
      <w:r>
        <w:rPr>
          <w:rFonts w:hint="eastAsia" w:ascii="仿宋_GB2312" w:eastAsia="仿宋_GB2312"/>
          <w:color w:val="auto"/>
          <w:sz w:val="32"/>
          <w:szCs w:val="32"/>
          <w:highlight w:val="none"/>
          <w:lang w:val="en-US" w:eastAsia="zh-CN"/>
        </w:rPr>
        <w:t>及结转和结余</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政府性基金预算财政拨款收入支出决算表为空表。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val="en-US" w:eastAsia="zh-CN"/>
        </w:rPr>
        <w:t>九</w:t>
      </w:r>
      <w:r>
        <w:rPr>
          <w:rFonts w:hint="eastAsia" w:ascii="黑体" w:hAnsi="黑体" w:eastAsia="黑体" w:cs="宋体"/>
          <w:bCs/>
          <w:color w:val="auto"/>
          <w:kern w:val="0"/>
          <w:sz w:val="32"/>
          <w:szCs w:val="32"/>
          <w:highlight w:val="none"/>
          <w:lang w:eastAsia="zh-CN"/>
        </w:rPr>
        <w:t>、国有资本经营预算财政拨款收入支出决算情况说明</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我</w:t>
      </w:r>
      <w:r>
        <w:rPr>
          <w:rFonts w:hint="eastAsia" w:ascii="仿宋_GB2312" w:eastAsia="仿宋_GB2312"/>
          <w:color w:val="auto"/>
          <w:sz w:val="32"/>
          <w:szCs w:val="32"/>
          <w:highlight w:val="none"/>
          <w:lang w:val="en-US" w:eastAsia="zh-CN"/>
        </w:rPr>
        <w:t>单位</w:t>
      </w:r>
      <w:r>
        <w:rPr>
          <w:rFonts w:hint="eastAsia" w:ascii="仿宋_GB2312" w:eastAsia="仿宋_GB2312"/>
          <w:color w:val="auto"/>
          <w:sz w:val="32"/>
          <w:szCs w:val="32"/>
          <w:highlight w:val="none"/>
          <w:lang w:eastAsia="zh-CN"/>
        </w:rPr>
        <w:t>本年度无国有资本经营预算财政拨款收入、支出</w:t>
      </w:r>
      <w:r>
        <w:rPr>
          <w:rFonts w:hint="eastAsia" w:ascii="仿宋_GB2312" w:eastAsia="仿宋_GB2312"/>
          <w:color w:val="auto"/>
          <w:sz w:val="32"/>
          <w:szCs w:val="32"/>
          <w:highlight w:val="none"/>
          <w:lang w:val="en-US" w:eastAsia="zh-CN"/>
        </w:rPr>
        <w:t>及结转和结余</w:t>
      </w:r>
      <w:r>
        <w:rPr>
          <w:rFonts w:hint="eastAsia" w:ascii="仿宋_GB2312" w:eastAsia="仿宋_GB2312"/>
          <w:color w:val="auto"/>
          <w:sz w:val="32"/>
          <w:szCs w:val="32"/>
          <w:highlight w:val="none"/>
          <w:lang w:eastAsia="zh-CN"/>
        </w:rPr>
        <w:t>，国有资本经营</w:t>
      </w:r>
      <w:r>
        <w:rPr>
          <w:rFonts w:hint="eastAsia" w:ascii="仿宋_GB2312" w:eastAsia="仿宋_GB2312"/>
          <w:color w:val="auto"/>
          <w:sz w:val="32"/>
          <w:szCs w:val="32"/>
          <w:highlight w:val="none"/>
        </w:rPr>
        <w:t>预算财政拨款收入支出决算表为空表。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20" w:name="_Toc7314"/>
      <w:bookmarkStart w:id="21" w:name="_Toc1235"/>
      <w:r>
        <w:rPr>
          <w:rFonts w:hint="eastAsia" w:ascii="黑体" w:hAnsi="黑体" w:eastAsia="黑体" w:cs="宋体"/>
          <w:bCs/>
          <w:color w:val="auto"/>
          <w:kern w:val="0"/>
          <w:sz w:val="32"/>
          <w:szCs w:val="32"/>
          <w:highlight w:val="none"/>
          <w:lang w:eastAsia="zh-CN"/>
        </w:rPr>
        <w:t>十</w:t>
      </w:r>
      <w:r>
        <w:rPr>
          <w:rFonts w:hint="eastAsia" w:ascii="黑体" w:hAnsi="黑体" w:eastAsia="黑体" w:cs="宋体"/>
          <w:bCs/>
          <w:color w:val="auto"/>
          <w:kern w:val="0"/>
          <w:sz w:val="32"/>
          <w:szCs w:val="32"/>
          <w:highlight w:val="none"/>
        </w:rPr>
        <w:t>、其他重要事项的情况</w:t>
      </w:r>
      <w:r>
        <w:rPr>
          <w:rFonts w:hint="eastAsia" w:ascii="黑体" w:hAnsi="黑体" w:eastAsia="黑体" w:cs="宋体"/>
          <w:bCs/>
          <w:color w:val="auto"/>
          <w:kern w:val="0"/>
          <w:sz w:val="32"/>
          <w:szCs w:val="32"/>
          <w:highlight w:val="none"/>
          <w:lang w:eastAsia="zh-CN"/>
        </w:rPr>
        <w:t>说明</w:t>
      </w:r>
      <w:bookmarkEnd w:id="20"/>
      <w:bookmarkEnd w:id="2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rPr>
      </w:pPr>
      <w:bookmarkStart w:id="22" w:name="_Toc13105"/>
      <w:bookmarkStart w:id="23" w:name="_Toc14519"/>
      <w:r>
        <w:rPr>
          <w:rFonts w:hint="eastAsia" w:ascii="黑体" w:hAnsi="黑体" w:eastAsia="黑体"/>
          <w:color w:val="auto"/>
          <w:sz w:val="32"/>
          <w:szCs w:val="32"/>
          <w:highlight w:val="none"/>
          <w:lang w:eastAsia="zh-CN"/>
        </w:rPr>
        <w:t>（一）</w:t>
      </w:r>
      <w:r>
        <w:rPr>
          <w:rFonts w:hint="eastAsia" w:ascii="黑体" w:hAnsi="黑体" w:eastAsia="黑体"/>
          <w:color w:val="auto"/>
          <w:sz w:val="32"/>
          <w:szCs w:val="32"/>
          <w:highlight w:val="none"/>
        </w:rPr>
        <w:t>机关运行经费支出情况</w:t>
      </w:r>
      <w:bookmarkEnd w:id="22"/>
      <w:bookmarkEnd w:id="2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en-US" w:eastAsia="zh-CN"/>
        </w:rPr>
      </w:pPr>
      <w:bookmarkStart w:id="24" w:name="_Toc26704"/>
      <w:bookmarkStart w:id="25" w:name="_Toc227"/>
      <w:r>
        <w:rPr>
          <w:rFonts w:hint="eastAsia" w:ascii="Times New Roman" w:hAnsi="Times New Roman" w:eastAsia="仿宋_GB2312" w:cs="Times New Roman"/>
          <w:color w:val="auto"/>
          <w:sz w:val="32"/>
          <w:szCs w:val="32"/>
          <w:highlight w:val="none"/>
          <w:lang w:val="zh-CN" w:eastAsia="zh-CN"/>
        </w:rPr>
        <w:t>2023年度</w:t>
      </w:r>
      <w:r>
        <w:rPr>
          <w:rFonts w:hint="eastAsia" w:ascii="Times New Roman" w:hAnsi="Times New Roman" w:eastAsia="仿宋_GB2312" w:cs="Times New Roman"/>
          <w:color w:val="auto"/>
          <w:sz w:val="32"/>
          <w:szCs w:val="32"/>
          <w:highlight w:val="none"/>
          <w:lang w:val="en-US" w:eastAsia="zh-CN"/>
        </w:rPr>
        <w:t>新疆维吾尔自治区伊斯兰教协会 （事业单位）公用经费支出24.44万元，</w:t>
      </w:r>
      <w:r>
        <w:rPr>
          <w:rFonts w:hint="eastAsia" w:ascii="Times New Roman" w:hAnsi="Times New Roman" w:eastAsia="仿宋_GB2312" w:cs="Times New Roman"/>
          <w:color w:val="auto"/>
          <w:sz w:val="32"/>
          <w:szCs w:val="32"/>
          <w:highlight w:val="none"/>
          <w:lang w:val="zh-CN" w:eastAsia="zh-CN"/>
        </w:rPr>
        <w:t>比上年增加24.44万元，增长100.00%，</w:t>
      </w:r>
      <w:r>
        <w:rPr>
          <w:rFonts w:hint="eastAsia" w:eastAsia="仿宋_GB2312" w:cs="Times New Roman"/>
          <w:color w:val="auto"/>
          <w:sz w:val="32"/>
          <w:szCs w:val="32"/>
          <w:highlight w:val="none"/>
          <w:lang w:val="zh-CN" w:eastAsia="zh-CN"/>
        </w:rPr>
        <w:t>主要原因是：2023年，新疆维吾尔自治区伊斯兰教协会首次编报部门决算，2022年度收入支出总体情况汇总在自治区民委（宗教事务局）部门决算中。</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黑体" w:cs="Times New Roman"/>
          <w:color w:val="auto"/>
          <w:sz w:val="32"/>
          <w:szCs w:val="30"/>
          <w:highlight w:val="none"/>
          <w:lang w:val="zh-CN" w:eastAsia="zh-CN"/>
        </w:rPr>
      </w:pPr>
      <w:r>
        <w:rPr>
          <w:rFonts w:hint="eastAsia" w:ascii="Times New Roman" w:hAnsi="Times New Roman" w:eastAsia="黑体" w:cs="Times New Roman"/>
          <w:color w:val="auto"/>
          <w:sz w:val="32"/>
          <w:szCs w:val="30"/>
          <w:highlight w:val="none"/>
          <w:lang w:val="zh-CN" w:eastAsia="zh-CN"/>
        </w:rPr>
        <w:t>（二）政府采购情况</w:t>
      </w:r>
      <w:bookmarkEnd w:id="24"/>
      <w:bookmarkEnd w:id="2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zh-CN"/>
        </w:rPr>
      </w:pPr>
      <w:r>
        <w:rPr>
          <w:rFonts w:hint="eastAsia" w:ascii="Times New Roman" w:hAnsi="Times New Roman" w:eastAsia="仿宋_GB2312" w:cs="Times New Roman"/>
          <w:color w:val="auto"/>
          <w:sz w:val="32"/>
          <w:szCs w:val="32"/>
          <w:highlight w:val="none"/>
          <w:lang w:val="zh-CN" w:eastAsia="zh-CN"/>
        </w:rPr>
        <w:t>2023年度</w:t>
      </w:r>
      <w:r>
        <w:rPr>
          <w:rFonts w:hint="eastAsia" w:ascii="Times New Roman" w:hAnsi="Times New Roman" w:eastAsia="仿宋_GB2312" w:cs="Times New Roman"/>
          <w:color w:val="auto"/>
          <w:sz w:val="32"/>
          <w:szCs w:val="32"/>
          <w:highlight w:val="none"/>
          <w:lang w:val="zh-CN"/>
        </w:rPr>
        <w:t>政府采购支出总额</w:t>
      </w:r>
      <w:r>
        <w:rPr>
          <w:rFonts w:hint="eastAsia" w:ascii="Times New Roman" w:hAnsi="Times New Roman" w:eastAsia="仿宋_GB2312" w:cs="Times New Roman"/>
          <w:color w:val="auto"/>
          <w:sz w:val="32"/>
          <w:szCs w:val="32"/>
          <w:highlight w:val="none"/>
          <w:lang w:val="zh-CN" w:eastAsia="zh-CN"/>
        </w:rPr>
        <w:t>0.00万元</w:t>
      </w:r>
      <w:r>
        <w:rPr>
          <w:rFonts w:hint="eastAsia" w:ascii="Times New Roman" w:hAnsi="Times New Roman" w:eastAsia="仿宋_GB2312" w:cs="Times New Roman"/>
          <w:color w:val="auto"/>
          <w:sz w:val="32"/>
          <w:szCs w:val="32"/>
          <w:highlight w:val="none"/>
          <w:lang w:val="zh-CN"/>
        </w:rPr>
        <w:t>，</w:t>
      </w:r>
      <w:r>
        <w:rPr>
          <w:rFonts w:hint="eastAsia" w:ascii="Times New Roman" w:hAnsi="Times New Roman" w:eastAsia="仿宋_GB2312" w:cs="Times New Roman"/>
          <w:color w:val="auto"/>
          <w:sz w:val="32"/>
          <w:szCs w:val="32"/>
          <w:highlight w:val="none"/>
          <w:lang w:val="zh-CN" w:eastAsia="zh-CN"/>
        </w:rPr>
        <w:t>其中：政府采购货物支出0.00万元、政府采购工程支出0.00万元、政府采购服务支出0.00万元。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en-US" w:eastAsia="zh-CN"/>
        </w:rPr>
      </w:pPr>
      <w:r>
        <w:rPr>
          <w:rFonts w:hint="eastAsia" w:ascii="Times New Roman" w:hAnsi="Times New Roman" w:eastAsia="仿宋_GB2312" w:cs="Times New Roman"/>
          <w:color w:val="auto"/>
          <w:sz w:val="32"/>
          <w:szCs w:val="32"/>
          <w:highlight w:val="none"/>
          <w:lang w:val="zh-CN" w:eastAsia="zh-CN"/>
        </w:rPr>
        <w:t>授予中小企业合同金额0.00万元，占政府采购支出总额的0.00</w:t>
      </w:r>
      <w:r>
        <w:rPr>
          <w:rFonts w:hint="default" w:ascii="Times New Roman" w:hAnsi="Times New Roman"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zh-CN" w:eastAsia="zh-CN"/>
        </w:rPr>
        <w:t>，其中：授予小微企业合同金额0.00万元，占政府采购支出总额的0.00</w:t>
      </w:r>
      <w:r>
        <w:rPr>
          <w:rFonts w:hint="default" w:ascii="Times New Roman" w:hAnsi="Times New Roman"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黑体" w:cs="Times New Roman"/>
          <w:color w:val="auto"/>
          <w:sz w:val="32"/>
          <w:szCs w:val="30"/>
          <w:highlight w:val="none"/>
          <w:lang w:val="zh-CN" w:eastAsia="zh-CN"/>
        </w:rPr>
      </w:pPr>
      <w:bookmarkStart w:id="26" w:name="_Toc8391"/>
      <w:bookmarkStart w:id="27" w:name="_Toc4591"/>
      <w:r>
        <w:rPr>
          <w:rFonts w:hint="eastAsia" w:ascii="Times New Roman" w:hAnsi="Times New Roman" w:eastAsia="黑体" w:cs="Times New Roman"/>
          <w:color w:val="auto"/>
          <w:sz w:val="32"/>
          <w:szCs w:val="30"/>
          <w:highlight w:val="none"/>
          <w:lang w:val="zh-CN" w:eastAsia="zh-CN"/>
        </w:rPr>
        <w:t>（三）国有资产占用情况说明</w:t>
      </w:r>
      <w:bookmarkEnd w:id="26"/>
      <w:bookmarkEnd w:id="2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zh-CN" w:eastAsia="zh-CN"/>
        </w:rPr>
      </w:pPr>
      <w:r>
        <w:rPr>
          <w:rFonts w:hint="eastAsia" w:ascii="Times New Roman" w:hAnsi="Times New Roman" w:eastAsia="仿宋_GB2312" w:cs="Times New Roman"/>
          <w:color w:val="auto"/>
          <w:sz w:val="32"/>
          <w:szCs w:val="32"/>
          <w:highlight w:val="none"/>
          <w:lang w:val="en-US" w:eastAsia="zh-CN"/>
        </w:rPr>
        <w:t>截至2023</w:t>
      </w:r>
      <w:r>
        <w:rPr>
          <w:rFonts w:hint="eastAsia" w:ascii="Times New Roman" w:hAnsi="Times New Roman" w:eastAsia="仿宋_GB2312" w:cs="Times New Roman"/>
          <w:color w:val="auto"/>
          <w:sz w:val="32"/>
          <w:szCs w:val="32"/>
          <w:highlight w:val="none"/>
          <w:lang w:val="zh-CN" w:eastAsia="zh-CN"/>
        </w:rPr>
        <w:t>年</w:t>
      </w:r>
      <w:r>
        <w:rPr>
          <w:rFonts w:hint="eastAsia" w:ascii="Times New Roman" w:hAnsi="Times New Roman" w:eastAsia="仿宋_GB2312" w:cs="Times New Roman"/>
          <w:color w:val="auto"/>
          <w:sz w:val="32"/>
          <w:szCs w:val="32"/>
          <w:highlight w:val="none"/>
          <w:lang w:val="en-US" w:eastAsia="zh-CN"/>
        </w:rPr>
        <w:t>12月31日</w:t>
      </w:r>
      <w:r>
        <w:rPr>
          <w:rFonts w:hint="eastAsia" w:ascii="Times New Roman" w:hAnsi="Times New Roman"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en-US" w:eastAsia="zh-CN"/>
        </w:rPr>
        <w:t>固定资产原值</w:t>
      </w:r>
      <w:r>
        <w:rPr>
          <w:rFonts w:hint="eastAsia" w:ascii="Times New Roman" w:hAnsi="Times New Roman" w:eastAsia="仿宋_GB2312" w:cs="Times New Roman"/>
          <w:color w:val="auto"/>
          <w:sz w:val="32"/>
          <w:szCs w:val="32"/>
          <w:highlight w:val="none"/>
          <w:lang w:val="zh-CN" w:eastAsia="zh-CN"/>
        </w:rPr>
        <w:t>115.22</w:t>
      </w:r>
      <w:r>
        <w:rPr>
          <w:rFonts w:hint="eastAsia" w:ascii="Times New Roman" w:hAnsi="Times New Roman" w:eastAsia="仿宋_GB2312" w:cs="Times New Roman"/>
          <w:color w:val="auto"/>
          <w:sz w:val="32"/>
          <w:szCs w:val="32"/>
          <w:highlight w:val="none"/>
          <w:lang w:val="en-US" w:eastAsia="zh-CN"/>
        </w:rPr>
        <w:t>万元，房</w:t>
      </w:r>
      <w:r>
        <w:rPr>
          <w:rFonts w:hint="eastAsia" w:ascii="Times New Roman" w:hAnsi="Times New Roman" w:eastAsia="仿宋_GB2312" w:cs="Times New Roman"/>
          <w:color w:val="auto"/>
          <w:sz w:val="32"/>
          <w:szCs w:val="32"/>
          <w:highlight w:val="none"/>
          <w:lang w:val="zh-CN" w:eastAsia="zh-CN"/>
        </w:rPr>
        <w:t>屋0.00平方米，价值0.00万元。车辆2辆，价值79.19万元，其中：副部（省）级及以上领导用车0辆、主要</w:t>
      </w:r>
      <w:r>
        <w:rPr>
          <w:rFonts w:hint="eastAsia" w:ascii="Times New Roman" w:hAnsi="Times New Roman" w:eastAsia="仿宋_GB2312" w:cs="Times New Roman"/>
          <w:color w:val="auto"/>
          <w:sz w:val="32"/>
          <w:szCs w:val="32"/>
          <w:highlight w:val="none"/>
          <w:lang w:val="en-US" w:eastAsia="zh-CN"/>
        </w:rPr>
        <w:t>负责人</w:t>
      </w:r>
      <w:r>
        <w:rPr>
          <w:rFonts w:hint="eastAsia" w:ascii="Times New Roman" w:hAnsi="Times New Roman" w:eastAsia="仿宋_GB2312" w:cs="Times New Roman"/>
          <w:color w:val="auto"/>
          <w:sz w:val="32"/>
          <w:szCs w:val="32"/>
          <w:highlight w:val="none"/>
          <w:lang w:val="zh-CN" w:eastAsia="zh-CN"/>
        </w:rPr>
        <w:t>用车0辆、机要通信用车0辆、应急保障用车0辆、执法执勤用车0辆、特种专业技术用车0辆、离退休干部</w:t>
      </w:r>
      <w:r>
        <w:rPr>
          <w:rFonts w:hint="eastAsia" w:ascii="Times New Roman" w:hAnsi="Times New Roman" w:eastAsia="仿宋_GB2312" w:cs="Times New Roman"/>
          <w:color w:val="auto"/>
          <w:sz w:val="32"/>
          <w:szCs w:val="32"/>
          <w:highlight w:val="none"/>
          <w:lang w:val="en-US" w:eastAsia="zh-CN"/>
        </w:rPr>
        <w:t>服务</w:t>
      </w:r>
      <w:r>
        <w:rPr>
          <w:rFonts w:hint="eastAsia" w:ascii="Times New Roman" w:hAnsi="Times New Roman" w:eastAsia="仿宋_GB2312" w:cs="Times New Roman"/>
          <w:color w:val="auto"/>
          <w:sz w:val="32"/>
          <w:szCs w:val="32"/>
          <w:highlight w:val="none"/>
          <w:lang w:val="zh-CN" w:eastAsia="zh-CN"/>
        </w:rPr>
        <w:t>用车0辆、其他用车2辆</w:t>
      </w:r>
      <w:r>
        <w:rPr>
          <w:rFonts w:hint="eastAsia"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zh-CN" w:eastAsia="zh-CN"/>
        </w:rPr>
        <w:t>其他用车主要是：</w:t>
      </w:r>
      <w:r>
        <w:rPr>
          <w:rFonts w:hint="eastAsia" w:eastAsia="仿宋_GB2312" w:cs="Times New Roman"/>
          <w:color w:val="auto"/>
          <w:sz w:val="32"/>
          <w:szCs w:val="32"/>
          <w:highlight w:val="none"/>
          <w:lang w:val="en-US" w:eastAsia="zh-CN"/>
        </w:rPr>
        <w:t>单位公务用车</w:t>
      </w:r>
      <w:r>
        <w:rPr>
          <w:rFonts w:hint="eastAsia" w:ascii="Times New Roman" w:hAnsi="Times New Roman" w:eastAsia="仿宋_GB2312" w:cs="Times New Roman"/>
          <w:color w:val="auto"/>
          <w:sz w:val="32"/>
          <w:szCs w:val="32"/>
          <w:highlight w:val="none"/>
          <w:lang w:val="zh-CN" w:eastAsia="zh-CN"/>
        </w:rPr>
        <w:t>；单价100万元（含）以上设备（不含车辆）0</w:t>
      </w:r>
      <w:r>
        <w:rPr>
          <w:rFonts w:hint="eastAsia" w:ascii="Times New Roman" w:hAnsi="Times New Roman" w:eastAsia="仿宋_GB2312" w:cs="Times New Roman"/>
          <w:color w:val="auto"/>
          <w:sz w:val="32"/>
          <w:szCs w:val="32"/>
          <w:highlight w:val="none"/>
          <w:lang w:val="en-US" w:eastAsia="zh-CN"/>
        </w:rPr>
        <w:t>台（</w:t>
      </w:r>
      <w:r>
        <w:rPr>
          <w:rFonts w:hint="eastAsia" w:ascii="Times New Roman" w:hAnsi="Times New Roman" w:eastAsia="仿宋_GB2312" w:cs="Times New Roman"/>
          <w:color w:val="auto"/>
          <w:sz w:val="32"/>
          <w:szCs w:val="32"/>
          <w:highlight w:val="none"/>
          <w:lang w:val="zh-CN" w:eastAsia="zh-CN"/>
        </w:rPr>
        <w:t>套）。</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28" w:name="_Toc11283"/>
      <w:bookmarkStart w:id="29" w:name="_Toc435"/>
      <w:r>
        <w:rPr>
          <w:rFonts w:hint="eastAsia" w:ascii="黑体" w:hAnsi="黑体" w:eastAsia="黑体" w:cs="宋体"/>
          <w:bCs/>
          <w:color w:val="auto"/>
          <w:kern w:val="0"/>
          <w:sz w:val="32"/>
          <w:szCs w:val="32"/>
          <w:highlight w:val="none"/>
          <w:lang w:eastAsia="zh-CN"/>
        </w:rPr>
        <w:t>十</w:t>
      </w:r>
      <w:r>
        <w:rPr>
          <w:rFonts w:hint="eastAsia" w:ascii="黑体" w:hAnsi="黑体" w:eastAsia="黑体" w:cs="宋体"/>
          <w:bCs/>
          <w:color w:val="auto"/>
          <w:kern w:val="0"/>
          <w:sz w:val="32"/>
          <w:szCs w:val="32"/>
          <w:highlight w:val="none"/>
          <w:lang w:val="en-US" w:eastAsia="zh-CN"/>
        </w:rPr>
        <w:t>一</w:t>
      </w:r>
      <w:r>
        <w:rPr>
          <w:rFonts w:hint="eastAsia" w:ascii="黑体" w:hAnsi="黑体" w:eastAsia="黑体" w:cs="宋体"/>
          <w:bCs/>
          <w:color w:val="auto"/>
          <w:kern w:val="0"/>
          <w:sz w:val="32"/>
          <w:szCs w:val="32"/>
          <w:highlight w:val="none"/>
          <w:lang w:eastAsia="zh-CN"/>
        </w:rPr>
        <w:t>、预算绩效的情况说明</w:t>
      </w:r>
      <w:bookmarkEnd w:id="28"/>
      <w:bookmarkEnd w:id="29"/>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根据预算绩效管理要求，我</w:t>
      </w:r>
      <w:r>
        <w:rPr>
          <w:rFonts w:hint="eastAsia" w:ascii="仿宋_GB2312" w:eastAsia="仿宋_GB2312"/>
          <w:color w:val="auto"/>
          <w:sz w:val="32"/>
          <w:szCs w:val="32"/>
          <w:highlight w:val="none"/>
          <w:lang w:val="en-US" w:eastAsia="zh-CN"/>
        </w:rPr>
        <w:t>单位</w:t>
      </w:r>
      <w:r>
        <w:rPr>
          <w:rFonts w:hint="eastAsia" w:ascii="仿宋_GB2312" w:eastAsia="仿宋_GB2312"/>
          <w:color w:val="auto"/>
          <w:sz w:val="32"/>
          <w:szCs w:val="32"/>
          <w:highlight w:val="none"/>
          <w:lang w:eastAsia="zh-CN"/>
        </w:rPr>
        <w:t>2023年度</w:t>
      </w:r>
      <w:r>
        <w:rPr>
          <w:rFonts w:hint="eastAsia" w:ascii="仿宋_GB2312" w:hAnsi="仿宋_GB2312" w:eastAsia="仿宋_GB2312" w:cs="仿宋_GB2312"/>
          <w:color w:val="auto"/>
          <w:kern w:val="0"/>
          <w:sz w:val="32"/>
          <w:szCs w:val="32"/>
          <w:highlight w:val="none"/>
        </w:rPr>
        <w:t>预算绩效管理整体</w:t>
      </w:r>
      <w:r>
        <w:rPr>
          <w:rFonts w:hint="eastAsia" w:ascii="仿宋_GB2312" w:hAnsi="仿宋_GB2312" w:eastAsia="仿宋_GB2312" w:cs="仿宋_GB2312"/>
          <w:color w:val="auto"/>
          <w:kern w:val="0"/>
          <w:sz w:val="32"/>
          <w:szCs w:val="32"/>
          <w:highlight w:val="none"/>
          <w:lang w:val="en-US" w:eastAsia="zh-CN"/>
        </w:rPr>
        <w:t>支出</w:t>
      </w:r>
      <w:r>
        <w:rPr>
          <w:rFonts w:hint="eastAsia" w:ascii="仿宋_GB2312" w:hAnsi="仿宋_GB2312" w:eastAsia="仿宋_GB2312" w:cs="仿宋_GB2312"/>
          <w:color w:val="auto"/>
          <w:kern w:val="0"/>
          <w:sz w:val="32"/>
          <w:szCs w:val="32"/>
          <w:highlight w:val="none"/>
        </w:rPr>
        <w:t>绩效自评表</w:t>
      </w:r>
      <w:r>
        <w:rPr>
          <w:rFonts w:hint="eastAsia" w:ascii="仿宋_GB2312" w:eastAsia="仿宋_GB2312"/>
          <w:color w:val="auto"/>
          <w:sz w:val="32"/>
          <w:szCs w:val="32"/>
          <w:highlight w:val="none"/>
          <w:lang w:val="en-US" w:eastAsia="zh-CN"/>
        </w:rPr>
        <w:t>0</w:t>
      </w:r>
      <w:r>
        <w:rPr>
          <w:rFonts w:hint="eastAsia" w:ascii="仿宋_GB2312" w:hAnsi="仿宋_GB2312" w:eastAsia="仿宋_GB2312" w:cs="仿宋_GB2312"/>
          <w:color w:val="auto"/>
          <w:kern w:val="0"/>
          <w:sz w:val="32"/>
          <w:szCs w:val="32"/>
          <w:highlight w:val="none"/>
          <w:lang w:val="en-US" w:eastAsia="zh-CN"/>
        </w:rPr>
        <w:t>个，全年</w:t>
      </w:r>
      <w:r>
        <w:rPr>
          <w:rFonts w:hint="eastAsia" w:ascii="仿宋_GB2312" w:eastAsia="仿宋_GB2312"/>
          <w:color w:val="auto"/>
          <w:sz w:val="32"/>
          <w:szCs w:val="32"/>
          <w:highlight w:val="none"/>
          <w:lang w:val="en-US" w:eastAsia="zh-CN"/>
        </w:rPr>
        <w:t>预算总额</w:t>
      </w:r>
      <w:r>
        <w:rPr>
          <w:rFonts w:hint="eastAsia" w:ascii="仿宋_GB2312" w:eastAsia="仿宋_GB2312"/>
          <w:color w:val="auto"/>
          <w:spacing w:val="0"/>
          <w:sz w:val="32"/>
          <w:szCs w:val="32"/>
          <w:highlight w:val="none"/>
          <w:lang w:val="en-US" w:eastAsia="zh-CN"/>
        </w:rPr>
        <w:t>0</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实际执行总额</w:t>
      </w:r>
      <w:r>
        <w:rPr>
          <w:rFonts w:hint="eastAsia" w:ascii="仿宋_GB2312" w:eastAsia="仿宋_GB2312"/>
          <w:color w:val="auto"/>
          <w:spacing w:val="0"/>
          <w:sz w:val="32"/>
          <w:szCs w:val="32"/>
          <w:highlight w:val="none"/>
          <w:lang w:val="en-US" w:eastAsia="zh-CN"/>
        </w:rPr>
        <w:t>0</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我单位整体支出绩效自评表由主管部门编报并公开；</w:t>
      </w:r>
      <w:r>
        <w:rPr>
          <w:rFonts w:hint="eastAsia" w:ascii="仿宋_GB2312" w:eastAsia="仿宋_GB2312"/>
          <w:color w:val="auto"/>
          <w:sz w:val="32"/>
          <w:szCs w:val="32"/>
          <w:highlight w:val="none"/>
          <w:lang w:eastAsia="zh-CN"/>
        </w:rPr>
        <w:t>预算绩效评价项目</w:t>
      </w:r>
      <w:r>
        <w:rPr>
          <w:rFonts w:hint="eastAsia" w:ascii="仿宋_GB2312" w:eastAsia="仿宋_GB2312"/>
          <w:color w:val="auto"/>
          <w:sz w:val="32"/>
          <w:szCs w:val="32"/>
          <w:highlight w:val="none"/>
          <w:lang w:val="en-US" w:eastAsia="zh-CN"/>
        </w:rPr>
        <w:t>4</w:t>
      </w:r>
      <w:r>
        <w:rPr>
          <w:rFonts w:hint="eastAsia" w:ascii="仿宋_GB2312" w:eastAsia="仿宋_GB2312"/>
          <w:color w:val="auto"/>
          <w:sz w:val="32"/>
          <w:szCs w:val="32"/>
          <w:highlight w:val="none"/>
          <w:lang w:eastAsia="zh-CN"/>
        </w:rPr>
        <w:t>个，</w:t>
      </w:r>
      <w:r>
        <w:rPr>
          <w:rFonts w:hint="eastAsia" w:ascii="仿宋_GB2312" w:eastAsia="仿宋_GB2312"/>
          <w:color w:val="auto"/>
          <w:sz w:val="32"/>
          <w:szCs w:val="32"/>
          <w:highlight w:val="none"/>
          <w:lang w:val="en-US" w:eastAsia="zh-CN"/>
        </w:rPr>
        <w:t>全年预算数242.46</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全年执行数171.95</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预算绩效管理取得的成效：预算绩效管理取得的成效：一是全面贯彻党的宗教工作基本方针，坚持我国宗教中国化方向，坚持标本兼治，促进宗教领域和睦和谐。二是预算编制趋向合理、有效。细化预算管理，提高资金使用事前预算能力，大大提高预算绩效管理的可操作性。发现的问题及原因：一是财政专项资金使用率低，项目执行进度缓慢。二是资金使用和结算缓慢。培训经费未按年初工作计划按时实施，项目资金使用和结算较缓慢，未达到财政厅按月执行项目经费要求。财政专项资金使用跟踪管理工作还有待进一步加强。下一步改进措施：一是积极引导单位增强绩效评价意识，提高项目绩效指标的科学性和可考核性，修正项目绩效目标。对项目绩效目标进一步细化、量化，形成相互间可独立考核、科学合理的项目绩效指标。二是建立健全预算绩效目标、绩效跟踪、绩效评价、结果应用和绩效问责的全过程的绩效管理制度体系，严格落实绩效问责机制。</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z w:val="32"/>
          <w:szCs w:val="32"/>
          <w:highlight w:val="none"/>
          <w:lang w:eastAsia="zh-CN"/>
        </w:rPr>
        <w:t>具体</w:t>
      </w:r>
      <w:r>
        <w:rPr>
          <w:rFonts w:hint="eastAsia" w:ascii="仿宋_GB2312" w:eastAsia="仿宋_GB2312"/>
          <w:color w:val="auto"/>
          <w:sz w:val="32"/>
          <w:szCs w:val="32"/>
          <w:highlight w:val="none"/>
        </w:rPr>
        <w:t>项目自评情况附绩效自评表。</w:t>
      </w: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64150" cy="3634105"/>
            <wp:effectExtent l="0" t="0" r="12700" b="444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5"/>
                    <a:stretch>
                      <a:fillRect/>
                    </a:stretch>
                  </pic:blipFill>
                  <pic:spPr>
                    <a:xfrm>
                      <a:off x="0" y="0"/>
                      <a:ext cx="5264150" cy="363410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pP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312410" cy="7417435"/>
            <wp:effectExtent l="0" t="0" r="2540" b="1206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6"/>
                    <a:stretch>
                      <a:fillRect/>
                    </a:stretch>
                  </pic:blipFill>
                  <pic:spPr>
                    <a:xfrm>
                      <a:off x="0" y="0"/>
                      <a:ext cx="5312410" cy="741743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71135" cy="4228465"/>
            <wp:effectExtent l="0" t="0" r="5715" b="63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271135" cy="422846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rPr>
          <w:rFonts w:hint="eastAsia"/>
          <w:lang w:eastAsia="zh-CN"/>
        </w:rPr>
      </w:pPr>
      <w:r>
        <w:drawing>
          <wp:inline distT="0" distB="0" distL="114300" distR="114300">
            <wp:extent cx="5272405" cy="3311525"/>
            <wp:effectExtent l="0" t="0" r="4445" b="317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8"/>
                    <a:stretch>
                      <a:fillRect/>
                    </a:stretch>
                  </pic:blipFill>
                  <pic:spPr>
                    <a:xfrm>
                      <a:off x="0" y="0"/>
                      <a:ext cx="5272405" cy="331152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eastAsia="zh-CN"/>
        </w:rPr>
        <w:t>十</w:t>
      </w:r>
      <w:r>
        <w:rPr>
          <w:rFonts w:hint="eastAsia" w:ascii="黑体" w:hAnsi="黑体" w:eastAsia="黑体" w:cs="宋体"/>
          <w:bCs/>
          <w:color w:val="auto"/>
          <w:kern w:val="0"/>
          <w:sz w:val="32"/>
          <w:szCs w:val="32"/>
          <w:highlight w:val="none"/>
          <w:lang w:val="en-US" w:eastAsia="zh-CN"/>
        </w:rPr>
        <w:t>二</w:t>
      </w:r>
      <w:r>
        <w:rPr>
          <w:rFonts w:hint="eastAsia" w:ascii="黑体" w:hAnsi="黑体" w:eastAsia="黑体" w:cs="宋体"/>
          <w:bCs/>
          <w:color w:val="auto"/>
          <w:kern w:val="0"/>
          <w:sz w:val="32"/>
          <w:szCs w:val="32"/>
          <w:highlight w:val="none"/>
          <w:lang w:eastAsia="zh-CN"/>
        </w:rPr>
        <w:t>、其他需说明的事项</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hAnsi="仿宋_GB2312" w:eastAsia="仿宋_GB2312" w:cs="仿宋_GB2312"/>
          <w:color w:val="auto"/>
          <w:kern w:val="0"/>
          <w:sz w:val="32"/>
          <w:szCs w:val="32"/>
          <w:highlight w:val="none"/>
          <w:lang w:val="en-US" w:eastAsia="zh-CN"/>
        </w:rPr>
      </w:pPr>
      <w:r>
        <w:rPr>
          <w:rFonts w:hint="eastAsia" w:ascii="仿宋_GB2312" w:hAnsi="仿宋_GB2312" w:eastAsia="仿宋_GB2312" w:cs="仿宋_GB2312"/>
          <w:color w:val="auto"/>
          <w:kern w:val="0"/>
          <w:sz w:val="32"/>
          <w:szCs w:val="32"/>
          <w:highlight w:val="none"/>
          <w:lang w:val="en-US" w:eastAsia="zh-CN"/>
        </w:rPr>
        <w:t>我单位无单独政府采购账户，</w:t>
      </w:r>
      <w:r>
        <w:rPr>
          <w:rFonts w:hint="eastAsia" w:ascii="Times New Roman" w:hAnsi="Times New Roman" w:eastAsia="仿宋_GB2312" w:cs="Times New Roman"/>
          <w:color w:val="auto"/>
          <w:sz w:val="32"/>
          <w:szCs w:val="32"/>
          <w:highlight w:val="none"/>
          <w:lang w:val="zh-CN" w:eastAsia="zh-CN"/>
        </w:rPr>
        <w:t>2023年度</w:t>
      </w:r>
      <w:r>
        <w:rPr>
          <w:rFonts w:hint="eastAsia" w:ascii="Times New Roman" w:hAnsi="Times New Roman" w:eastAsia="仿宋_GB2312" w:cs="Times New Roman"/>
          <w:color w:val="auto"/>
          <w:sz w:val="32"/>
          <w:szCs w:val="32"/>
          <w:highlight w:val="none"/>
          <w:lang w:val="zh-CN"/>
        </w:rPr>
        <w:t>政府采购</w:t>
      </w:r>
      <w:r>
        <w:rPr>
          <w:rFonts w:hint="eastAsia" w:eastAsia="仿宋_GB2312" w:cs="Times New Roman"/>
          <w:color w:val="auto"/>
          <w:sz w:val="32"/>
          <w:szCs w:val="32"/>
          <w:highlight w:val="none"/>
          <w:lang w:val="en-US" w:eastAsia="zh-CN"/>
        </w:rPr>
        <w:t>支出情况在</w:t>
      </w:r>
      <w:r>
        <w:rPr>
          <w:rFonts w:hint="eastAsia" w:ascii="仿宋_GB2312" w:eastAsia="仿宋_GB2312"/>
          <w:color w:val="auto"/>
          <w:sz w:val="32"/>
          <w:szCs w:val="32"/>
          <w:highlight w:val="none"/>
          <w:lang w:val="en-US" w:eastAsia="zh-CN"/>
        </w:rPr>
        <w:t>主管部门报表中反映，因此</w:t>
      </w:r>
      <w:r>
        <w:rPr>
          <w:rFonts w:hint="eastAsia" w:ascii="Times New Roman" w:hAnsi="Times New Roman" w:eastAsia="仿宋_GB2312" w:cs="Times New Roman"/>
          <w:color w:val="auto"/>
          <w:sz w:val="32"/>
          <w:szCs w:val="32"/>
          <w:highlight w:val="none"/>
          <w:lang w:val="zh-CN" w:eastAsia="zh-CN"/>
        </w:rPr>
        <w:t>授予中小企业合同金额</w:t>
      </w:r>
      <w:r>
        <w:rPr>
          <w:rFonts w:hint="eastAsia"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zh-CN" w:eastAsia="zh-CN"/>
        </w:rPr>
        <w:t>授予小微企业合同金额0.00万元</w:t>
      </w:r>
      <w:r>
        <w:rPr>
          <w:rFonts w:hint="eastAsia" w:ascii="仿宋_GB2312" w:eastAsia="仿宋_GB2312"/>
          <w:color w:val="auto"/>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ascii="黑体" w:hAnsi="黑体" w:eastAsia="黑体"/>
          <w:color w:val="auto"/>
          <w:sz w:val="32"/>
          <w:szCs w:val="32"/>
          <w:highlight w:val="none"/>
        </w:rPr>
      </w:pPr>
      <w:bookmarkStart w:id="30" w:name="_Toc3250"/>
      <w:bookmarkStart w:id="31" w:name="_Toc24143"/>
      <w:r>
        <w:rPr>
          <w:rFonts w:hint="eastAsia" w:ascii="黑体" w:hAnsi="黑体" w:eastAsia="黑体"/>
          <w:color w:val="auto"/>
          <w:sz w:val="32"/>
          <w:szCs w:val="32"/>
          <w:highlight w:val="none"/>
        </w:rPr>
        <w:br w:type="page"/>
      </w:r>
      <w:r>
        <w:rPr>
          <w:rFonts w:hint="eastAsia" w:ascii="黑体" w:hAnsi="黑体" w:eastAsia="黑体"/>
          <w:color w:val="auto"/>
          <w:sz w:val="32"/>
          <w:szCs w:val="32"/>
          <w:highlight w:val="none"/>
        </w:rPr>
        <w:t>第</w:t>
      </w:r>
      <w:r>
        <w:rPr>
          <w:rFonts w:hint="eastAsia" w:ascii="黑体" w:hAnsi="黑体" w:eastAsia="黑体"/>
          <w:color w:val="auto"/>
          <w:sz w:val="32"/>
          <w:szCs w:val="32"/>
          <w:highlight w:val="none"/>
          <w:lang w:val="en-US" w:eastAsia="zh-CN"/>
        </w:rPr>
        <w:t>三</w:t>
      </w:r>
      <w:r>
        <w:rPr>
          <w:rFonts w:hint="eastAsia" w:ascii="黑体" w:hAnsi="黑体" w:eastAsia="黑体"/>
          <w:color w:val="auto"/>
          <w:sz w:val="32"/>
          <w:szCs w:val="32"/>
          <w:highlight w:val="none"/>
        </w:rPr>
        <w:t>部分 专业名词解释</w:t>
      </w:r>
      <w:bookmarkEnd w:id="30"/>
      <w:bookmarkEnd w:id="31"/>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一、</w:t>
      </w:r>
      <w:r>
        <w:rPr>
          <w:rFonts w:hint="eastAsia" w:ascii="仿宋_GB2312" w:eastAsia="仿宋_GB2312"/>
          <w:b/>
          <w:bCs/>
          <w:color w:val="auto"/>
          <w:sz w:val="32"/>
          <w:szCs w:val="32"/>
          <w:highlight w:val="none"/>
        </w:rPr>
        <w:t>财政拨款收入：</w:t>
      </w:r>
      <w:r>
        <w:rPr>
          <w:rFonts w:hint="eastAsia" w:ascii="仿宋_GB2312" w:eastAsia="仿宋_GB2312"/>
          <w:color w:val="auto"/>
          <w:sz w:val="32"/>
          <w:szCs w:val="32"/>
          <w:highlight w:val="none"/>
        </w:rPr>
        <w:t>指同级财政当年拨付的资金。</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二、</w:t>
      </w:r>
      <w:r>
        <w:rPr>
          <w:rFonts w:hint="eastAsia" w:ascii="仿宋_GB2312" w:eastAsia="仿宋_GB2312"/>
          <w:b/>
          <w:bCs/>
          <w:color w:val="auto"/>
          <w:sz w:val="32"/>
          <w:szCs w:val="32"/>
          <w:highlight w:val="none"/>
        </w:rPr>
        <w:t>上级补助收入：</w:t>
      </w:r>
      <w:r>
        <w:rPr>
          <w:rFonts w:hint="eastAsia" w:ascii="仿宋_GB2312" w:eastAsia="仿宋_GB2312"/>
          <w:color w:val="auto"/>
          <w:sz w:val="32"/>
          <w:szCs w:val="32"/>
          <w:highlight w:val="none"/>
        </w:rPr>
        <w:t>指事业单位从主管部门和上级单位取得的非财政补助收入。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三、</w:t>
      </w:r>
      <w:r>
        <w:rPr>
          <w:rFonts w:hint="eastAsia" w:ascii="仿宋_GB2312" w:eastAsia="仿宋_GB2312"/>
          <w:b/>
          <w:bCs/>
          <w:color w:val="auto"/>
          <w:sz w:val="32"/>
          <w:szCs w:val="32"/>
          <w:highlight w:val="none"/>
        </w:rPr>
        <w:t>事业收入：</w:t>
      </w:r>
      <w:r>
        <w:rPr>
          <w:rFonts w:hint="eastAsia" w:ascii="仿宋_GB2312" w:eastAsia="仿宋_GB2312"/>
          <w:color w:val="auto"/>
          <w:sz w:val="32"/>
          <w:szCs w:val="32"/>
          <w:highlight w:val="none"/>
        </w:rPr>
        <w:t>指事业单位开展专业业务活动及其辅助活动所取得的收入。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四、</w:t>
      </w:r>
      <w:r>
        <w:rPr>
          <w:rFonts w:hint="eastAsia" w:ascii="仿宋_GB2312" w:eastAsia="仿宋_GB2312"/>
          <w:b/>
          <w:bCs/>
          <w:color w:val="auto"/>
          <w:sz w:val="32"/>
          <w:szCs w:val="32"/>
          <w:highlight w:val="none"/>
        </w:rPr>
        <w:t>经营收入：</w:t>
      </w:r>
      <w:r>
        <w:rPr>
          <w:rFonts w:hint="eastAsia" w:ascii="仿宋_GB2312" w:eastAsia="仿宋_GB2312"/>
          <w:color w:val="auto"/>
          <w:sz w:val="32"/>
          <w:szCs w:val="32"/>
          <w:highlight w:val="none"/>
        </w:rPr>
        <w:t>指事业单位在专业业务活动及其辅助活动之外开展非独立核算经营活动取得的收入。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五、</w:t>
      </w:r>
      <w:r>
        <w:rPr>
          <w:rFonts w:hint="eastAsia" w:ascii="仿宋_GB2312" w:eastAsia="仿宋_GB2312"/>
          <w:b/>
          <w:bCs/>
          <w:color w:val="auto"/>
          <w:sz w:val="32"/>
          <w:szCs w:val="32"/>
          <w:highlight w:val="none"/>
        </w:rPr>
        <w:t>附属单位上缴收入：</w:t>
      </w:r>
      <w:r>
        <w:rPr>
          <w:rFonts w:hint="eastAsia" w:ascii="仿宋_GB2312" w:eastAsia="仿宋_GB2312"/>
          <w:color w:val="auto"/>
          <w:sz w:val="32"/>
          <w:szCs w:val="32"/>
          <w:highlight w:val="none"/>
        </w:rPr>
        <w:t>指事业单位附属的独立核算单位按有关规定上缴的收入。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六、</w:t>
      </w:r>
      <w:r>
        <w:rPr>
          <w:rFonts w:hint="eastAsia" w:ascii="仿宋_GB2312" w:eastAsia="仿宋_GB2312"/>
          <w:b/>
          <w:bCs/>
          <w:color w:val="auto"/>
          <w:sz w:val="32"/>
          <w:szCs w:val="32"/>
          <w:highlight w:val="none"/>
        </w:rPr>
        <w:t>其他收入：</w:t>
      </w:r>
      <w:r>
        <w:rPr>
          <w:rFonts w:hint="eastAsia" w:ascii="仿宋_GB2312" w:eastAsia="仿宋_GB2312"/>
          <w:color w:val="auto"/>
          <w:sz w:val="32"/>
          <w:szCs w:val="32"/>
          <w:highlight w:val="none"/>
        </w:rPr>
        <w:t>指除上述“财政拨款收入”、“事业收入”、“经营收入”、“附属单位上缴收入”等之外取得的收入。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七、</w:t>
      </w:r>
      <w:r>
        <w:rPr>
          <w:rFonts w:hint="eastAsia" w:ascii="仿宋_GB2312" w:eastAsia="仿宋_GB2312"/>
          <w:b/>
          <w:bCs/>
          <w:color w:val="auto"/>
          <w:sz w:val="32"/>
          <w:szCs w:val="32"/>
          <w:highlight w:val="none"/>
          <w:lang w:eastAsia="zh-CN"/>
        </w:rPr>
        <w:t>年初</w:t>
      </w:r>
      <w:r>
        <w:rPr>
          <w:rFonts w:hint="eastAsia" w:ascii="仿宋_GB2312" w:eastAsia="仿宋_GB2312"/>
          <w:b/>
          <w:bCs/>
          <w:color w:val="auto"/>
          <w:sz w:val="32"/>
          <w:szCs w:val="32"/>
          <w:highlight w:val="none"/>
        </w:rPr>
        <w:t>结转和结余：</w:t>
      </w:r>
      <w:r>
        <w:rPr>
          <w:rFonts w:hint="eastAsia" w:ascii="仿宋_GB2312" w:eastAsia="仿宋_GB2312"/>
          <w:color w:val="auto"/>
          <w:sz w:val="32"/>
          <w:szCs w:val="32"/>
          <w:highlight w:val="none"/>
        </w:rPr>
        <w:t>指以前年度支出预算因客观条件变化未执行完毕、结转到本年度按有关规定继续使用的资金，既包括财政拨款结转和结余，也包括事业收入、经营收入、其他收入的结转和结余。</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八、</w:t>
      </w:r>
      <w:r>
        <w:rPr>
          <w:rFonts w:hint="eastAsia" w:ascii="仿宋_GB2312" w:eastAsia="仿宋_GB2312"/>
          <w:b/>
          <w:bCs/>
          <w:color w:val="auto"/>
          <w:sz w:val="32"/>
          <w:szCs w:val="32"/>
          <w:highlight w:val="none"/>
        </w:rPr>
        <w:t>年末结转和结余：</w:t>
      </w:r>
      <w:r>
        <w:rPr>
          <w:rFonts w:hint="eastAsia" w:ascii="仿宋_GB2312" w:eastAsia="仿宋_GB2312"/>
          <w:color w:val="auto"/>
          <w:sz w:val="32"/>
          <w:szCs w:val="32"/>
          <w:highlight w:val="none"/>
        </w:rPr>
        <w:t>指本年度或以前年度预算安排、因客观条件发生变化无法按原计划实施，需要延迟到以后年度按有关规定继续使用的资金，既包括财政拨款结转和结余，也包括事业收入、经营收入、其他收入的结转和结余。</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九、</w:t>
      </w:r>
      <w:r>
        <w:rPr>
          <w:rFonts w:hint="eastAsia" w:ascii="仿宋_GB2312" w:eastAsia="仿宋_GB2312"/>
          <w:b/>
          <w:bCs/>
          <w:color w:val="auto"/>
          <w:sz w:val="32"/>
          <w:szCs w:val="32"/>
          <w:highlight w:val="none"/>
        </w:rPr>
        <w:t>基本支出：</w:t>
      </w:r>
      <w:r>
        <w:rPr>
          <w:rFonts w:hint="eastAsia" w:ascii="仿宋_GB2312" w:eastAsia="仿宋_GB2312"/>
          <w:color w:val="auto"/>
          <w:sz w:val="32"/>
          <w:szCs w:val="32"/>
          <w:highlight w:val="none"/>
        </w:rPr>
        <w:t>指为保障机构正常运转、完成日常工作任务而发生的人员支出和公用支出。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w:t>
      </w:r>
      <w:r>
        <w:rPr>
          <w:rFonts w:hint="eastAsia" w:ascii="仿宋_GB2312" w:eastAsia="仿宋_GB2312"/>
          <w:b/>
          <w:bCs/>
          <w:color w:val="auto"/>
          <w:sz w:val="32"/>
          <w:szCs w:val="32"/>
          <w:highlight w:val="none"/>
        </w:rPr>
        <w:t>项目支出：</w:t>
      </w:r>
      <w:r>
        <w:rPr>
          <w:rFonts w:hint="eastAsia" w:ascii="仿宋_GB2312" w:eastAsia="仿宋_GB2312"/>
          <w:color w:val="auto"/>
          <w:sz w:val="32"/>
          <w:szCs w:val="32"/>
          <w:highlight w:val="none"/>
        </w:rPr>
        <w:t>指在基本支出之外为完成特定行政任务和事业发展目标所发生的支出。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十一、</w:t>
      </w:r>
      <w:r>
        <w:rPr>
          <w:rFonts w:hint="eastAsia" w:ascii="仿宋_GB2312" w:eastAsia="仿宋_GB2312"/>
          <w:b/>
          <w:bCs/>
          <w:color w:val="auto"/>
          <w:sz w:val="32"/>
          <w:szCs w:val="32"/>
          <w:highlight w:val="none"/>
        </w:rPr>
        <w:t>经营支出：</w:t>
      </w:r>
      <w:r>
        <w:rPr>
          <w:rFonts w:hint="eastAsia" w:ascii="仿宋_GB2312" w:eastAsia="仿宋_GB2312"/>
          <w:color w:val="auto"/>
          <w:sz w:val="32"/>
          <w:szCs w:val="32"/>
          <w:highlight w:val="none"/>
        </w:rPr>
        <w:t>指事业单位在专业业务活动及其辅助活动之外开展非独立核算经营活动发生的支出。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十二、</w:t>
      </w:r>
      <w:r>
        <w:rPr>
          <w:rFonts w:hint="eastAsia" w:ascii="仿宋_GB2312" w:eastAsia="仿宋_GB2312"/>
          <w:b/>
          <w:bCs/>
          <w:color w:val="auto"/>
          <w:sz w:val="32"/>
          <w:szCs w:val="32"/>
          <w:highlight w:val="none"/>
        </w:rPr>
        <w:t>对附属单位补助支出：</w:t>
      </w:r>
      <w:r>
        <w:rPr>
          <w:rFonts w:hint="eastAsia" w:ascii="仿宋_GB2312" w:eastAsia="仿宋_GB2312"/>
          <w:color w:val="auto"/>
          <w:sz w:val="32"/>
          <w:szCs w:val="32"/>
          <w:highlight w:val="none"/>
        </w:rPr>
        <w:t>指事业单位发生的用非财政预算资金对附属单位的补助支出。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textAlignment w:val="auto"/>
        <w:rPr>
          <w:rFonts w:hint="eastAsia" w:ascii="仿宋_GB2312" w:eastAsia="仿宋_GB2312"/>
          <w:color w:val="auto"/>
          <w:sz w:val="32"/>
          <w:szCs w:val="32"/>
          <w:highlight w:val="none"/>
          <w:lang w:eastAsia="zh-CN"/>
        </w:rPr>
      </w:pPr>
      <w:r>
        <w:rPr>
          <w:rFonts w:hint="eastAsia" w:ascii="仿宋_GB2312" w:eastAsia="仿宋_GB2312"/>
          <w:b/>
          <w:bCs/>
          <w:color w:val="auto"/>
          <w:sz w:val="32"/>
          <w:szCs w:val="32"/>
          <w:highlight w:val="none"/>
          <w:lang w:val="en-US" w:eastAsia="zh-CN"/>
        </w:rPr>
        <w:t>十三、</w:t>
      </w:r>
      <w:r>
        <w:rPr>
          <w:rFonts w:hint="eastAsia" w:ascii="仿宋_GB2312" w:eastAsia="仿宋_GB2312"/>
          <w:b/>
          <w:bCs/>
          <w:color w:val="auto"/>
          <w:sz w:val="32"/>
          <w:szCs w:val="32"/>
          <w:highlight w:val="none"/>
        </w:rPr>
        <w:t>“三公”经费：</w:t>
      </w:r>
      <w:r>
        <w:rPr>
          <w:rFonts w:hint="eastAsia" w:ascii="仿宋_GB2312" w:eastAsia="仿宋_GB2312"/>
          <w:color w:val="auto"/>
          <w:sz w:val="32"/>
          <w:szCs w:val="32"/>
          <w:highlight w:val="none"/>
        </w:rPr>
        <w:t>指用财政拨款安排的因公出国（境）费、公务用车购置及运行费和公务接待费。其中，因公出国（境）费反映单位公务出国（境）的</w:t>
      </w:r>
      <w:r>
        <w:rPr>
          <w:rFonts w:hint="eastAsia" w:ascii="仿宋_GB2312" w:eastAsia="仿宋_GB2312"/>
          <w:color w:val="auto"/>
          <w:sz w:val="32"/>
          <w:szCs w:val="32"/>
          <w:highlight w:val="none"/>
          <w:lang w:eastAsia="zh-CN"/>
        </w:rPr>
        <w:t>国际旅费、国外城市间交通费、</w:t>
      </w:r>
      <w:r>
        <w:rPr>
          <w:rFonts w:hint="eastAsia" w:ascii="仿宋_GB2312" w:eastAsia="仿宋_GB2312"/>
          <w:color w:val="auto"/>
          <w:sz w:val="32"/>
          <w:szCs w:val="32"/>
          <w:highlight w:val="none"/>
        </w:rPr>
        <w:t>住宿费、伙食费、培训费、</w:t>
      </w:r>
      <w:r>
        <w:rPr>
          <w:rFonts w:hint="eastAsia" w:ascii="仿宋_GB2312" w:eastAsia="仿宋_GB2312"/>
          <w:color w:val="auto"/>
          <w:sz w:val="32"/>
          <w:szCs w:val="32"/>
          <w:highlight w:val="none"/>
          <w:lang w:eastAsia="zh-CN"/>
        </w:rPr>
        <w:t>公</w:t>
      </w:r>
      <w:r>
        <w:rPr>
          <w:rFonts w:hint="eastAsia" w:ascii="仿宋_GB2312" w:eastAsia="仿宋_GB2312"/>
          <w:color w:val="auto"/>
          <w:sz w:val="32"/>
          <w:szCs w:val="32"/>
          <w:highlight w:val="none"/>
        </w:rPr>
        <w:t>杂费等支出；公务用车购置费</w:t>
      </w:r>
      <w:r>
        <w:rPr>
          <w:rFonts w:hint="eastAsia" w:ascii="仿宋_GB2312" w:eastAsia="仿宋_GB2312"/>
          <w:color w:val="auto"/>
          <w:sz w:val="32"/>
          <w:szCs w:val="32"/>
          <w:highlight w:val="none"/>
          <w:lang w:eastAsia="zh-CN"/>
        </w:rPr>
        <w:t>反映公务用车购置支出（含车辆购置税、牌照费）；</w:t>
      </w:r>
      <w:r>
        <w:rPr>
          <w:rFonts w:hint="eastAsia" w:ascii="仿宋_GB2312" w:eastAsia="仿宋_GB2312"/>
          <w:color w:val="auto"/>
          <w:sz w:val="32"/>
          <w:szCs w:val="32"/>
          <w:highlight w:val="none"/>
        </w:rPr>
        <w:t>公务用车运行</w:t>
      </w:r>
      <w:r>
        <w:rPr>
          <w:rFonts w:hint="eastAsia" w:ascii="仿宋_GB2312" w:eastAsia="仿宋_GB2312"/>
          <w:color w:val="auto"/>
          <w:sz w:val="32"/>
          <w:szCs w:val="32"/>
          <w:highlight w:val="none"/>
          <w:lang w:eastAsia="zh-CN"/>
        </w:rPr>
        <w:t>维护</w:t>
      </w:r>
      <w:r>
        <w:rPr>
          <w:rFonts w:hint="eastAsia" w:ascii="仿宋_GB2312" w:eastAsia="仿宋_GB2312"/>
          <w:color w:val="auto"/>
          <w:sz w:val="32"/>
          <w:szCs w:val="32"/>
          <w:highlight w:val="none"/>
        </w:rPr>
        <w:t>费反映</w:t>
      </w:r>
      <w:r>
        <w:rPr>
          <w:rFonts w:hint="eastAsia" w:ascii="仿宋_GB2312" w:eastAsia="仿宋_GB2312"/>
          <w:color w:val="auto"/>
          <w:sz w:val="32"/>
          <w:szCs w:val="32"/>
          <w:highlight w:val="none"/>
          <w:lang w:eastAsia="zh-CN"/>
        </w:rPr>
        <w:t>单位按规定保留的公务用车燃料费、维修费、</w:t>
      </w:r>
      <w:r>
        <w:rPr>
          <w:rFonts w:hint="eastAsia" w:ascii="仿宋_GB2312" w:eastAsia="仿宋_GB2312"/>
          <w:color w:val="auto"/>
          <w:sz w:val="32"/>
          <w:szCs w:val="32"/>
          <w:highlight w:val="none"/>
        </w:rPr>
        <w:t>过路过桥费、保险费、安全奖励费用等支出</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公务接待费反映单位按规定开支的各类公务接待（含外宾接待）</w:t>
      </w:r>
      <w:r>
        <w:rPr>
          <w:rFonts w:hint="eastAsia" w:ascii="仿宋_GB2312" w:eastAsia="仿宋_GB2312"/>
          <w:color w:val="auto"/>
          <w:sz w:val="32"/>
          <w:szCs w:val="32"/>
          <w:highlight w:val="none"/>
          <w:lang w:eastAsia="zh-CN"/>
        </w:rPr>
        <w:t>费用</w:t>
      </w:r>
      <w:r>
        <w:rPr>
          <w:rFonts w:hint="eastAsia" w:ascii="仿宋_GB2312" w:eastAsia="仿宋_GB2312"/>
          <w:color w:val="auto"/>
          <w:sz w:val="32"/>
          <w:szCs w:val="32"/>
          <w:highlight w:val="none"/>
        </w:rPr>
        <w:t>。</w:t>
      </w:r>
    </w:p>
    <w:p>
      <w:pPr>
        <w:keepNext w:val="0"/>
        <w:keepLines w:val="0"/>
        <w:pageBreakBefore w:val="0"/>
        <w:widowControl w:val="0"/>
        <w:kinsoku/>
        <w:wordWrap/>
        <w:overflowPunct/>
        <w:topLinePunct w:val="0"/>
        <w:bidi w:val="0"/>
        <w:adjustRightInd/>
        <w:snapToGrid/>
        <w:spacing w:line="240" w:lineRule="auto"/>
        <w:ind w:firstLine="643" w:firstLineChars="200"/>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十四、</w:t>
      </w:r>
      <w:r>
        <w:rPr>
          <w:rFonts w:hint="eastAsia" w:ascii="仿宋_GB2312" w:eastAsia="仿宋_GB2312"/>
          <w:b/>
          <w:bCs/>
          <w:color w:val="auto"/>
          <w:sz w:val="32"/>
          <w:szCs w:val="32"/>
          <w:highlight w:val="none"/>
        </w:rPr>
        <w:t>机关运行经费：</w:t>
      </w:r>
      <w:r>
        <w:rPr>
          <w:rFonts w:hint="eastAsia" w:ascii="仿宋_GB2312" w:eastAsia="仿宋_GB2312"/>
          <w:color w:val="auto"/>
          <w:sz w:val="32"/>
          <w:szCs w:val="32"/>
          <w:highlight w:val="none"/>
        </w:rPr>
        <w:t>行政单位和参照公务员法管理的事业单位财政拨款基本支出中的公用经费支出。</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center"/>
        <w:textAlignment w:val="auto"/>
        <w:outlineLvl w:val="0"/>
        <w:rPr>
          <w:rFonts w:hint="eastAsia" w:ascii="黑体" w:hAnsi="黑体" w:eastAsia="黑体"/>
          <w:color w:val="auto"/>
          <w:sz w:val="32"/>
          <w:szCs w:val="32"/>
          <w:highlight w:val="none"/>
        </w:rPr>
      </w:pPr>
      <w:r>
        <w:rPr>
          <w:rFonts w:hint="eastAsia" w:ascii="仿宋_GB2312" w:eastAsia="仿宋_GB2312"/>
          <w:color w:val="auto"/>
          <w:sz w:val="32"/>
          <w:szCs w:val="32"/>
          <w:highlight w:val="none"/>
        </w:rPr>
        <w:br w:type="page"/>
      </w:r>
      <w:r>
        <w:rPr>
          <w:rFonts w:hint="eastAsia" w:ascii="黑体" w:hAnsi="黑体" w:eastAsia="黑体"/>
          <w:color w:val="auto"/>
          <w:sz w:val="32"/>
          <w:szCs w:val="32"/>
          <w:highlight w:val="none"/>
        </w:rPr>
        <w:t>第四部分 部门决算报表（见附表）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2" w:name="_Toc6062"/>
      <w:bookmarkStart w:id="33" w:name="_Toc2183"/>
      <w:r>
        <w:rPr>
          <w:rFonts w:hint="eastAsia" w:ascii="黑体" w:hAnsi="黑体" w:eastAsia="仿宋_GB2312" w:cs="宋体"/>
          <w:bCs/>
          <w:color w:val="auto"/>
          <w:kern w:val="0"/>
          <w:sz w:val="32"/>
          <w:szCs w:val="32"/>
          <w:highlight w:val="none"/>
        </w:rPr>
        <w:t>一、《收入支出决算总表》</w:t>
      </w:r>
      <w:bookmarkEnd w:id="32"/>
      <w:bookmarkEnd w:id="3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4" w:name="_Toc30364"/>
      <w:bookmarkStart w:id="35" w:name="_Toc24532"/>
      <w:r>
        <w:rPr>
          <w:rFonts w:hint="eastAsia" w:ascii="黑体" w:hAnsi="黑体" w:eastAsia="仿宋_GB2312" w:cs="宋体"/>
          <w:bCs/>
          <w:color w:val="auto"/>
          <w:kern w:val="0"/>
          <w:sz w:val="32"/>
          <w:szCs w:val="32"/>
          <w:highlight w:val="none"/>
        </w:rPr>
        <w:t>二、《收入决算表》</w:t>
      </w:r>
      <w:bookmarkEnd w:id="34"/>
      <w:bookmarkEnd w:id="3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6" w:name="_Toc32434"/>
      <w:bookmarkStart w:id="37" w:name="_Toc21304"/>
      <w:r>
        <w:rPr>
          <w:rFonts w:hint="eastAsia" w:ascii="黑体" w:hAnsi="黑体" w:eastAsia="仿宋_GB2312" w:cs="宋体"/>
          <w:bCs/>
          <w:color w:val="auto"/>
          <w:kern w:val="0"/>
          <w:sz w:val="32"/>
          <w:szCs w:val="32"/>
          <w:highlight w:val="none"/>
        </w:rPr>
        <w:t>三、《支出决算表》</w:t>
      </w:r>
      <w:bookmarkEnd w:id="36"/>
      <w:bookmarkEnd w:id="3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8" w:name="_Toc28786"/>
      <w:bookmarkStart w:id="39" w:name="_Toc14238"/>
      <w:r>
        <w:rPr>
          <w:rFonts w:hint="eastAsia" w:ascii="黑体" w:hAnsi="黑体" w:eastAsia="仿宋_GB2312" w:cs="宋体"/>
          <w:bCs/>
          <w:color w:val="auto"/>
          <w:kern w:val="0"/>
          <w:sz w:val="32"/>
          <w:szCs w:val="32"/>
          <w:highlight w:val="none"/>
        </w:rPr>
        <w:t>四、《财政拨款收入支出决算总表》</w:t>
      </w:r>
      <w:bookmarkEnd w:id="38"/>
      <w:bookmarkEnd w:id="39"/>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40" w:name="_Toc10347"/>
      <w:bookmarkStart w:id="41" w:name="_Toc14869"/>
      <w:r>
        <w:rPr>
          <w:rFonts w:hint="eastAsia" w:ascii="黑体" w:hAnsi="黑体" w:eastAsia="仿宋_GB2312" w:cs="宋体"/>
          <w:bCs/>
          <w:color w:val="auto"/>
          <w:kern w:val="0"/>
          <w:sz w:val="32"/>
          <w:szCs w:val="32"/>
          <w:highlight w:val="none"/>
        </w:rPr>
        <w:t>五、《一般公共预算财政拨款支出决算表》</w:t>
      </w:r>
      <w:bookmarkEnd w:id="40"/>
      <w:bookmarkEnd w:id="4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42" w:name="_Toc5626"/>
      <w:bookmarkStart w:id="43" w:name="_Toc8884"/>
      <w:r>
        <w:rPr>
          <w:rFonts w:hint="eastAsia" w:ascii="黑体" w:hAnsi="黑体" w:eastAsia="仿宋_GB2312" w:cs="宋体"/>
          <w:bCs/>
          <w:color w:val="auto"/>
          <w:kern w:val="0"/>
          <w:sz w:val="32"/>
          <w:szCs w:val="32"/>
          <w:highlight w:val="none"/>
        </w:rPr>
        <w:t>六、《一般公共预算财政拨款基本支出决算表》</w:t>
      </w:r>
      <w:bookmarkEnd w:id="42"/>
      <w:bookmarkEnd w:id="4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r>
        <w:rPr>
          <w:rFonts w:hint="eastAsia" w:ascii="黑体" w:hAnsi="黑体" w:eastAsia="仿宋_GB2312" w:cs="宋体"/>
          <w:bCs/>
          <w:color w:val="auto"/>
          <w:kern w:val="0"/>
          <w:sz w:val="32"/>
          <w:szCs w:val="32"/>
          <w:highlight w:val="none"/>
        </w:rPr>
        <w:t>七、</w:t>
      </w:r>
      <w:bookmarkStart w:id="44" w:name="_Toc29106"/>
      <w:bookmarkStart w:id="45" w:name="_Toc32663"/>
      <w:r>
        <w:rPr>
          <w:rFonts w:hint="eastAsia" w:ascii="黑体" w:hAnsi="黑体" w:eastAsia="仿宋_GB2312" w:cs="宋体"/>
          <w:bCs/>
          <w:color w:val="auto"/>
          <w:kern w:val="0"/>
          <w:sz w:val="32"/>
          <w:szCs w:val="32"/>
          <w:highlight w:val="none"/>
        </w:rPr>
        <w:t>《财政拨款“三公”经费支出决算表》</w:t>
      </w:r>
      <w:bookmarkEnd w:id="44"/>
      <w:bookmarkEnd w:id="4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46" w:name="_Toc7643"/>
      <w:bookmarkStart w:id="47" w:name="_Toc5453"/>
      <w:r>
        <w:rPr>
          <w:rFonts w:hint="eastAsia" w:ascii="黑体" w:hAnsi="黑体" w:eastAsia="仿宋_GB2312" w:cs="宋体"/>
          <w:bCs/>
          <w:color w:val="auto"/>
          <w:kern w:val="0"/>
          <w:sz w:val="32"/>
          <w:szCs w:val="32"/>
          <w:highlight w:val="none"/>
        </w:rPr>
        <w:t>八、《政府性基金预算财政拨款收入支出决算表》</w:t>
      </w:r>
      <w:bookmarkEnd w:id="46"/>
      <w:bookmarkEnd w:id="4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r>
        <w:rPr>
          <w:rFonts w:hint="eastAsia" w:ascii="黑体" w:hAnsi="黑体" w:eastAsia="仿宋_GB2312" w:cs="宋体"/>
          <w:bCs/>
          <w:color w:val="auto"/>
          <w:kern w:val="0"/>
          <w:sz w:val="32"/>
          <w:szCs w:val="32"/>
          <w:highlight w:val="none"/>
          <w:lang w:val="en-US" w:eastAsia="zh-CN"/>
        </w:rPr>
        <w:t>九</w:t>
      </w:r>
      <w:r>
        <w:rPr>
          <w:rFonts w:hint="eastAsia" w:ascii="黑体" w:hAnsi="黑体" w:eastAsia="仿宋_GB2312" w:cs="宋体"/>
          <w:bCs/>
          <w:color w:val="auto"/>
          <w:kern w:val="0"/>
          <w:sz w:val="32"/>
          <w:szCs w:val="32"/>
          <w:highlight w:val="none"/>
        </w:rPr>
        <w:t>、《</w:t>
      </w:r>
      <w:r>
        <w:rPr>
          <w:rFonts w:hint="eastAsia" w:ascii="黑体" w:hAnsi="黑体" w:eastAsia="仿宋_GB2312" w:cs="宋体"/>
          <w:bCs/>
          <w:color w:val="auto"/>
          <w:kern w:val="0"/>
          <w:sz w:val="32"/>
          <w:szCs w:val="32"/>
          <w:highlight w:val="none"/>
          <w:lang w:eastAsia="zh-CN"/>
        </w:rPr>
        <w:t>国有资本经营</w:t>
      </w:r>
      <w:r>
        <w:rPr>
          <w:rFonts w:hint="eastAsia" w:ascii="黑体" w:hAnsi="黑体" w:eastAsia="仿宋_GB2312" w:cs="宋体"/>
          <w:bCs/>
          <w:color w:val="auto"/>
          <w:kern w:val="0"/>
          <w:sz w:val="32"/>
          <w:szCs w:val="32"/>
          <w:highlight w:val="none"/>
        </w:rPr>
        <w:t>预算财政拨款收入支出决算表》</w:t>
      </w:r>
    </w:p>
    <w:p>
      <w:pPr>
        <w:keepNext w:val="0"/>
        <w:keepLines w:val="0"/>
        <w:pageBreakBefore w:val="0"/>
        <w:widowControl w:val="0"/>
        <w:kinsoku/>
        <w:wordWrap/>
        <w:overflowPunct/>
        <w:topLinePunct w:val="0"/>
        <w:bidi w:val="0"/>
        <w:adjustRightInd/>
        <w:snapToGrid/>
        <w:spacing w:line="240" w:lineRule="auto"/>
        <w:ind w:firstLine="640" w:firstLineChars="200"/>
        <w:textAlignment w:val="auto"/>
        <w:rPr>
          <w:rFonts w:hint="eastAsia" w:ascii="仿宋_GB2312" w:eastAsia="仿宋_GB2312"/>
          <w:color w:val="auto"/>
          <w:sz w:val="32"/>
          <w:szCs w:val="32"/>
          <w:highlight w:val="none"/>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黑体" w:cs="宋体"/>
          <w:bCs/>
          <w:color w:val="auto"/>
          <w:kern w:val="0"/>
          <w:sz w:val="32"/>
          <w:szCs w:val="32"/>
          <w:highlight w:val="none"/>
          <w:lang w:eastAsia="zh-CN"/>
        </w:rPr>
      </w:pP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00007A87" w:usb1="80000000" w:usb2="00000008" w:usb3="00000000" w:csb0="400001FF" w:csb1="FFFF0000"/>
  </w:font>
  <w:font w:name="宋体">
    <w:panose1 w:val="02010600030101010101"/>
    <w:charset w:val="50"/>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embedRegular r:id="rId1" w:fontKey="{47DFA74F-A5DF-4769-881B-A886E5A2E284}"/>
  </w:font>
  <w:font w:name="Arial">
    <w:panose1 w:val="020B0604020202020204"/>
    <w:charset w:val="01"/>
    <w:family w:val="swiss"/>
    <w:pitch w:val="default"/>
    <w:sig w:usb0="00007A87" w:usb1="80000000" w:usb2="00000008" w:usb3="00000000" w:csb0="400001FF" w:csb1="FFFF0000"/>
    <w:embedRegular r:id="rId2" w:fontKey="{328E0D47-5DD1-43FA-8592-3621B5A771AE}"/>
  </w:font>
  <w:font w:name="黑体">
    <w:panose1 w:val="02010600030101010101"/>
    <w:charset w:val="86"/>
    <w:family w:val="auto"/>
    <w:pitch w:val="default"/>
    <w:sig w:usb0="00000001" w:usb1="080E0000" w:usb2="00000000" w:usb3="00000000" w:csb0="00040000" w:csb1="00000000"/>
    <w:embedRegular r:id="rId3" w:fontKey="{F0D7C039-8B02-42F6-AD9F-C9281F8B6596}"/>
  </w:font>
  <w:font w:name="Courier New">
    <w:panose1 w:val="02070309020205020404"/>
    <w:charset w:val="01"/>
    <w:family w:val="modern"/>
    <w:pitch w:val="default"/>
    <w:sig w:usb0="00007A87" w:usb1="80000000" w:usb2="00000008" w:usb3="00000000" w:csb0="400001FF" w:csb1="FFFF0000"/>
    <w:embedRegular r:id="rId4" w:fontKey="{00B40799-9DF3-4210-BB67-18BD9D1CFB6F}"/>
  </w:font>
  <w:font w:name="Symbol">
    <w:panose1 w:val="05050102010706020507"/>
    <w:charset w:val="02"/>
    <w:family w:val="roman"/>
    <w:pitch w:val="default"/>
    <w:sig w:usb0="00000000" w:usb1="00000000" w:usb2="00000000" w:usb3="00000000" w:csb0="80000000" w:csb1="00000000"/>
    <w:embedRegular r:id="rId5" w:fontKey="{DC0EF294-4676-4A68-A8A4-CCB22EABDA2B}"/>
  </w:font>
  <w:font w:name="Calibri">
    <w:panose1 w:val="020F0502020204030204"/>
    <w:charset w:val="00"/>
    <w:family w:val="swiss"/>
    <w:pitch w:val="default"/>
    <w:sig w:usb0="A00002EF" w:usb1="4000207B" w:usb2="00000000" w:usb3="00000000" w:csb0="2000009F" w:csb1="00000000"/>
    <w:embedRegular r:id="rId6" w:fontKey="{8BC2AD5A-2428-4CFE-A40B-A85157999A34}"/>
  </w:font>
  <w:font w:name="方正小标宋_GBK">
    <w:panose1 w:val="03000509000000000000"/>
    <w:charset w:val="86"/>
    <w:family w:val="script"/>
    <w:pitch w:val="default"/>
    <w:sig w:usb0="00000001" w:usb1="080E0000" w:usb2="00000000" w:usb3="00000000" w:csb0="00040000" w:csb1="00000000"/>
    <w:embedRegular r:id="rId7" w:fontKey="{9DF72294-0355-4994-AA5D-1600EFD327FF}"/>
  </w:font>
  <w:font w:name="仿宋_GB2312">
    <w:panose1 w:val="02010609030101010101"/>
    <w:charset w:val="86"/>
    <w:family w:val="modern"/>
    <w:pitch w:val="default"/>
    <w:sig w:usb0="00000001" w:usb1="080E0000" w:usb2="00000000" w:usb3="00000000" w:csb0="00040000" w:csb1="00000000"/>
    <w:embedRegular r:id="rId8" w:fontKey="{DCF7BE94-D512-4377-950C-C9F53C556F0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vert="horz" wrap="none" lIns="0" tIns="0" rIns="0" bIns="0" anchor="t" anchorCtr="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zql5uc8AAAAFAQAADwAAAAAAAAABACAA&#10;AAAiAAAAZHJzL2Rvd25yZXYueG1sUEsBAhQAFAAAAAgAh07iQG15XmjdAQAAvgMAAA4AAAAAAAAA&#10;AQAgAAAAHgEAAGRycy9lMm9Eb2MueG1sUEsFBgAAAAAGAAYAWQEAAG0FAAAAAA==&#10;">
              <v:fill on="f" focussize="0,0"/>
              <v:stroke on="f"/>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3F031D"/>
    <w:multiLevelType w:val="singleLevel"/>
    <w:tmpl w:val="103F031D"/>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AyOGZmZWJiZjkzMTc5MjUxM2FlYjUzNmFjOTJhZmYifQ=="/>
    <w:docVar w:name="KSO_WPS_MARK_KEY" w:val="41ee2a61-2d54-4f93-83be-afdb9a40d732"/>
  </w:docVars>
  <w:rsids>
    <w:rsidRoot w:val="00000000"/>
    <w:rsid w:val="00213C59"/>
    <w:rsid w:val="003210CE"/>
    <w:rsid w:val="00B70D59"/>
    <w:rsid w:val="00F52A8D"/>
    <w:rsid w:val="019404F8"/>
    <w:rsid w:val="01ED22F2"/>
    <w:rsid w:val="02BD3108"/>
    <w:rsid w:val="02F73D26"/>
    <w:rsid w:val="034D4FEF"/>
    <w:rsid w:val="035D1785"/>
    <w:rsid w:val="039F47CE"/>
    <w:rsid w:val="03E05CE8"/>
    <w:rsid w:val="03F973EE"/>
    <w:rsid w:val="043E5B56"/>
    <w:rsid w:val="04C04386"/>
    <w:rsid w:val="04D96608"/>
    <w:rsid w:val="04FA68C4"/>
    <w:rsid w:val="053F5AE6"/>
    <w:rsid w:val="057C0B0F"/>
    <w:rsid w:val="05EF4B48"/>
    <w:rsid w:val="05F76ECA"/>
    <w:rsid w:val="06792773"/>
    <w:rsid w:val="07093795"/>
    <w:rsid w:val="07804730"/>
    <w:rsid w:val="079052BE"/>
    <w:rsid w:val="08145C21"/>
    <w:rsid w:val="08422688"/>
    <w:rsid w:val="085854ED"/>
    <w:rsid w:val="0879188F"/>
    <w:rsid w:val="08A0354D"/>
    <w:rsid w:val="08CD4C49"/>
    <w:rsid w:val="09114954"/>
    <w:rsid w:val="095A5B83"/>
    <w:rsid w:val="096466E3"/>
    <w:rsid w:val="0968304D"/>
    <w:rsid w:val="09AF3D17"/>
    <w:rsid w:val="0A7809B7"/>
    <w:rsid w:val="0A7B4867"/>
    <w:rsid w:val="0A840954"/>
    <w:rsid w:val="0A9928ED"/>
    <w:rsid w:val="0B61769D"/>
    <w:rsid w:val="0B8C3ECC"/>
    <w:rsid w:val="0B9C639D"/>
    <w:rsid w:val="0BB052B2"/>
    <w:rsid w:val="0BD33FFC"/>
    <w:rsid w:val="0BE97AC1"/>
    <w:rsid w:val="0C1C4780"/>
    <w:rsid w:val="0C3613A3"/>
    <w:rsid w:val="0C5E519C"/>
    <w:rsid w:val="0C7227A7"/>
    <w:rsid w:val="0CA52EE8"/>
    <w:rsid w:val="0CBD6988"/>
    <w:rsid w:val="0CD208AC"/>
    <w:rsid w:val="0D4903E8"/>
    <w:rsid w:val="0D7A4A46"/>
    <w:rsid w:val="0E640559"/>
    <w:rsid w:val="0F1113DA"/>
    <w:rsid w:val="0F78534A"/>
    <w:rsid w:val="0F89358A"/>
    <w:rsid w:val="0F8C6D51"/>
    <w:rsid w:val="105B0B5E"/>
    <w:rsid w:val="112E58D0"/>
    <w:rsid w:val="11731CAC"/>
    <w:rsid w:val="119500A0"/>
    <w:rsid w:val="11C0733B"/>
    <w:rsid w:val="11D50D17"/>
    <w:rsid w:val="120E0809"/>
    <w:rsid w:val="127F665A"/>
    <w:rsid w:val="12F7068C"/>
    <w:rsid w:val="14207DC0"/>
    <w:rsid w:val="14B932DA"/>
    <w:rsid w:val="150A66AF"/>
    <w:rsid w:val="150C75C3"/>
    <w:rsid w:val="154C1139"/>
    <w:rsid w:val="158C5B77"/>
    <w:rsid w:val="160D1149"/>
    <w:rsid w:val="163563C0"/>
    <w:rsid w:val="164315EF"/>
    <w:rsid w:val="16557DFE"/>
    <w:rsid w:val="167268FB"/>
    <w:rsid w:val="16770D0A"/>
    <w:rsid w:val="16D50C50"/>
    <w:rsid w:val="16E120E1"/>
    <w:rsid w:val="17385A05"/>
    <w:rsid w:val="173B3901"/>
    <w:rsid w:val="176747F9"/>
    <w:rsid w:val="17954A6E"/>
    <w:rsid w:val="180059E9"/>
    <w:rsid w:val="184510FD"/>
    <w:rsid w:val="190648B0"/>
    <w:rsid w:val="19071D6C"/>
    <w:rsid w:val="19D26CD4"/>
    <w:rsid w:val="19E60D19"/>
    <w:rsid w:val="1A3E3450"/>
    <w:rsid w:val="1AD807E5"/>
    <w:rsid w:val="1B39345B"/>
    <w:rsid w:val="1BFB2A1F"/>
    <w:rsid w:val="1C015D4A"/>
    <w:rsid w:val="1C290ED5"/>
    <w:rsid w:val="1C317E4F"/>
    <w:rsid w:val="1C472464"/>
    <w:rsid w:val="1D22799A"/>
    <w:rsid w:val="1D5C1A72"/>
    <w:rsid w:val="1DAF458D"/>
    <w:rsid w:val="1E086ACE"/>
    <w:rsid w:val="1E62130A"/>
    <w:rsid w:val="1E97358B"/>
    <w:rsid w:val="1EAA4A5F"/>
    <w:rsid w:val="1EE869A7"/>
    <w:rsid w:val="1FA15E62"/>
    <w:rsid w:val="1FC501A8"/>
    <w:rsid w:val="1FED69B6"/>
    <w:rsid w:val="2064678E"/>
    <w:rsid w:val="20DC1AB9"/>
    <w:rsid w:val="20DD6197"/>
    <w:rsid w:val="212631E0"/>
    <w:rsid w:val="217C1300"/>
    <w:rsid w:val="21A53757"/>
    <w:rsid w:val="221236C6"/>
    <w:rsid w:val="22D7662C"/>
    <w:rsid w:val="23326B7F"/>
    <w:rsid w:val="2380045B"/>
    <w:rsid w:val="23BC04D2"/>
    <w:rsid w:val="23D64310"/>
    <w:rsid w:val="23EF1892"/>
    <w:rsid w:val="2483647E"/>
    <w:rsid w:val="24A32D55"/>
    <w:rsid w:val="25292727"/>
    <w:rsid w:val="252E5CA9"/>
    <w:rsid w:val="256F7692"/>
    <w:rsid w:val="25BA2154"/>
    <w:rsid w:val="25C8773F"/>
    <w:rsid w:val="264A7253"/>
    <w:rsid w:val="26F0170C"/>
    <w:rsid w:val="27201D62"/>
    <w:rsid w:val="27286E73"/>
    <w:rsid w:val="27CF2642"/>
    <w:rsid w:val="27E777F5"/>
    <w:rsid w:val="27EA1D4C"/>
    <w:rsid w:val="27EA2E41"/>
    <w:rsid w:val="282459E2"/>
    <w:rsid w:val="283A7FE5"/>
    <w:rsid w:val="285F51FF"/>
    <w:rsid w:val="28DF2665"/>
    <w:rsid w:val="29072599"/>
    <w:rsid w:val="291029F3"/>
    <w:rsid w:val="29CB58F0"/>
    <w:rsid w:val="2A053397"/>
    <w:rsid w:val="2A145E96"/>
    <w:rsid w:val="2A2131BB"/>
    <w:rsid w:val="2AF5378F"/>
    <w:rsid w:val="2BB94DBF"/>
    <w:rsid w:val="2C6F314E"/>
    <w:rsid w:val="2CC206BE"/>
    <w:rsid w:val="2D1136DF"/>
    <w:rsid w:val="2D20606D"/>
    <w:rsid w:val="2DB87198"/>
    <w:rsid w:val="2DB93C54"/>
    <w:rsid w:val="2E3D144C"/>
    <w:rsid w:val="2E891204"/>
    <w:rsid w:val="2F3F0A28"/>
    <w:rsid w:val="2FBF7029"/>
    <w:rsid w:val="2FD0187F"/>
    <w:rsid w:val="2FD27414"/>
    <w:rsid w:val="2FFE4BB0"/>
    <w:rsid w:val="300E7B60"/>
    <w:rsid w:val="300F6E18"/>
    <w:rsid w:val="30862F5F"/>
    <w:rsid w:val="314029C9"/>
    <w:rsid w:val="31C63837"/>
    <w:rsid w:val="31C82E39"/>
    <w:rsid w:val="32601BAD"/>
    <w:rsid w:val="329F6389"/>
    <w:rsid w:val="3389023A"/>
    <w:rsid w:val="33CB74FA"/>
    <w:rsid w:val="343642F2"/>
    <w:rsid w:val="343F3010"/>
    <w:rsid w:val="345D0A00"/>
    <w:rsid w:val="34713BFD"/>
    <w:rsid w:val="34C13589"/>
    <w:rsid w:val="353369E3"/>
    <w:rsid w:val="35B21E0B"/>
    <w:rsid w:val="35E00D72"/>
    <w:rsid w:val="36965B9D"/>
    <w:rsid w:val="36C549FD"/>
    <w:rsid w:val="37A755DD"/>
    <w:rsid w:val="37F94FA0"/>
    <w:rsid w:val="380D3381"/>
    <w:rsid w:val="38115B1F"/>
    <w:rsid w:val="385E3AC3"/>
    <w:rsid w:val="387D6B9E"/>
    <w:rsid w:val="38972197"/>
    <w:rsid w:val="38B75FF0"/>
    <w:rsid w:val="38D45016"/>
    <w:rsid w:val="38D90432"/>
    <w:rsid w:val="3914510A"/>
    <w:rsid w:val="3926770B"/>
    <w:rsid w:val="398D3668"/>
    <w:rsid w:val="39DA0497"/>
    <w:rsid w:val="3A6F0FAD"/>
    <w:rsid w:val="3A893816"/>
    <w:rsid w:val="3A893B6D"/>
    <w:rsid w:val="3AD1763A"/>
    <w:rsid w:val="3B6716E3"/>
    <w:rsid w:val="3B6C6B2D"/>
    <w:rsid w:val="3C242659"/>
    <w:rsid w:val="3C96719C"/>
    <w:rsid w:val="3CA72BE8"/>
    <w:rsid w:val="3CF37F8C"/>
    <w:rsid w:val="3D137554"/>
    <w:rsid w:val="3D5275AC"/>
    <w:rsid w:val="3DCC2473"/>
    <w:rsid w:val="3DEB0883"/>
    <w:rsid w:val="3E2527BF"/>
    <w:rsid w:val="3E731662"/>
    <w:rsid w:val="3E8168DD"/>
    <w:rsid w:val="3EA7725F"/>
    <w:rsid w:val="3EB03713"/>
    <w:rsid w:val="3EBF1A11"/>
    <w:rsid w:val="3EC52607"/>
    <w:rsid w:val="3EEC6CEF"/>
    <w:rsid w:val="3F183429"/>
    <w:rsid w:val="3FB77A1D"/>
    <w:rsid w:val="3FDC3674"/>
    <w:rsid w:val="3FED7F8A"/>
    <w:rsid w:val="40094AEF"/>
    <w:rsid w:val="405470BD"/>
    <w:rsid w:val="40794A29"/>
    <w:rsid w:val="40834692"/>
    <w:rsid w:val="41431AD5"/>
    <w:rsid w:val="414B3C0F"/>
    <w:rsid w:val="417C1CE7"/>
    <w:rsid w:val="41900018"/>
    <w:rsid w:val="41944406"/>
    <w:rsid w:val="41CE128F"/>
    <w:rsid w:val="41DA6F12"/>
    <w:rsid w:val="42171FB1"/>
    <w:rsid w:val="434E6957"/>
    <w:rsid w:val="43BA0E31"/>
    <w:rsid w:val="43C15147"/>
    <w:rsid w:val="43E14DD2"/>
    <w:rsid w:val="43F800E9"/>
    <w:rsid w:val="443A7E4B"/>
    <w:rsid w:val="44E16B7D"/>
    <w:rsid w:val="44ED17C3"/>
    <w:rsid w:val="452F5B3A"/>
    <w:rsid w:val="454E7FD2"/>
    <w:rsid w:val="46061BDC"/>
    <w:rsid w:val="461404F8"/>
    <w:rsid w:val="46413018"/>
    <w:rsid w:val="464B7E04"/>
    <w:rsid w:val="468041AA"/>
    <w:rsid w:val="468123C6"/>
    <w:rsid w:val="46901EEE"/>
    <w:rsid w:val="469C74D2"/>
    <w:rsid w:val="47445515"/>
    <w:rsid w:val="474B4782"/>
    <w:rsid w:val="47D90D14"/>
    <w:rsid w:val="48387FB0"/>
    <w:rsid w:val="483A6114"/>
    <w:rsid w:val="488727DB"/>
    <w:rsid w:val="48B82268"/>
    <w:rsid w:val="48C354B3"/>
    <w:rsid w:val="493D58B5"/>
    <w:rsid w:val="494A7A04"/>
    <w:rsid w:val="4A0A26D2"/>
    <w:rsid w:val="4A2019A5"/>
    <w:rsid w:val="4A241A0B"/>
    <w:rsid w:val="4A7B2875"/>
    <w:rsid w:val="4A934476"/>
    <w:rsid w:val="4AAA220A"/>
    <w:rsid w:val="4AE12E67"/>
    <w:rsid w:val="4B4C0111"/>
    <w:rsid w:val="4B8553A9"/>
    <w:rsid w:val="4BDB3730"/>
    <w:rsid w:val="4C200F7A"/>
    <w:rsid w:val="4CEE3180"/>
    <w:rsid w:val="4D0F4AF6"/>
    <w:rsid w:val="4DF94F37"/>
    <w:rsid w:val="4E0A1DD5"/>
    <w:rsid w:val="4E3160E5"/>
    <w:rsid w:val="4E4D37AF"/>
    <w:rsid w:val="4E8C6496"/>
    <w:rsid w:val="4EFD18DE"/>
    <w:rsid w:val="4F144236"/>
    <w:rsid w:val="4F663C87"/>
    <w:rsid w:val="4F7E29A8"/>
    <w:rsid w:val="4F9E1FFC"/>
    <w:rsid w:val="50447CC2"/>
    <w:rsid w:val="50874A7C"/>
    <w:rsid w:val="50895EE7"/>
    <w:rsid w:val="50921B9D"/>
    <w:rsid w:val="50D16158"/>
    <w:rsid w:val="50DB5F45"/>
    <w:rsid w:val="51025EB1"/>
    <w:rsid w:val="51141503"/>
    <w:rsid w:val="518D0ED5"/>
    <w:rsid w:val="525C687F"/>
    <w:rsid w:val="52F647F7"/>
    <w:rsid w:val="52F92565"/>
    <w:rsid w:val="53D03877"/>
    <w:rsid w:val="542F73CA"/>
    <w:rsid w:val="5430786D"/>
    <w:rsid w:val="545A1D2A"/>
    <w:rsid w:val="54C811C0"/>
    <w:rsid w:val="556A442D"/>
    <w:rsid w:val="55DA564E"/>
    <w:rsid w:val="55E816A3"/>
    <w:rsid w:val="5604127D"/>
    <w:rsid w:val="56166703"/>
    <w:rsid w:val="56510474"/>
    <w:rsid w:val="56861525"/>
    <w:rsid w:val="56A93273"/>
    <w:rsid w:val="56BD550C"/>
    <w:rsid w:val="56E07045"/>
    <w:rsid w:val="56FF28AF"/>
    <w:rsid w:val="57540E7D"/>
    <w:rsid w:val="577B4878"/>
    <w:rsid w:val="57926973"/>
    <w:rsid w:val="58175352"/>
    <w:rsid w:val="581F2200"/>
    <w:rsid w:val="583059FA"/>
    <w:rsid w:val="584A0929"/>
    <w:rsid w:val="58CD2491"/>
    <w:rsid w:val="591B41B2"/>
    <w:rsid w:val="59254A26"/>
    <w:rsid w:val="59326325"/>
    <w:rsid w:val="595C505B"/>
    <w:rsid w:val="595E55C3"/>
    <w:rsid w:val="596E7E20"/>
    <w:rsid w:val="5A60780B"/>
    <w:rsid w:val="5AB34579"/>
    <w:rsid w:val="5AFC6609"/>
    <w:rsid w:val="5B113480"/>
    <w:rsid w:val="5BD456CE"/>
    <w:rsid w:val="5C0D1F49"/>
    <w:rsid w:val="5CBB0CE2"/>
    <w:rsid w:val="5CC17177"/>
    <w:rsid w:val="5CF306BC"/>
    <w:rsid w:val="5D3F3D64"/>
    <w:rsid w:val="5D833043"/>
    <w:rsid w:val="5DD92690"/>
    <w:rsid w:val="5DDB1CFD"/>
    <w:rsid w:val="5E7E6D93"/>
    <w:rsid w:val="5ED44800"/>
    <w:rsid w:val="5F350BDE"/>
    <w:rsid w:val="5F61632C"/>
    <w:rsid w:val="5FA17648"/>
    <w:rsid w:val="5FE705CB"/>
    <w:rsid w:val="603D5080"/>
    <w:rsid w:val="60D0261B"/>
    <w:rsid w:val="618E3791"/>
    <w:rsid w:val="61947DCA"/>
    <w:rsid w:val="61A46A97"/>
    <w:rsid w:val="61D1382F"/>
    <w:rsid w:val="61F114A2"/>
    <w:rsid w:val="622B0ABA"/>
    <w:rsid w:val="62512BB4"/>
    <w:rsid w:val="625D7D1A"/>
    <w:rsid w:val="62DD7D21"/>
    <w:rsid w:val="637D586B"/>
    <w:rsid w:val="63A5560B"/>
    <w:rsid w:val="63E9091F"/>
    <w:rsid w:val="64322AF9"/>
    <w:rsid w:val="64D362F4"/>
    <w:rsid w:val="64D6010D"/>
    <w:rsid w:val="64D82665"/>
    <w:rsid w:val="64E47C96"/>
    <w:rsid w:val="651E5741"/>
    <w:rsid w:val="658A4877"/>
    <w:rsid w:val="659F6A63"/>
    <w:rsid w:val="65A00902"/>
    <w:rsid w:val="65AC6EDD"/>
    <w:rsid w:val="65D97752"/>
    <w:rsid w:val="65F12FD0"/>
    <w:rsid w:val="66085536"/>
    <w:rsid w:val="66105BF7"/>
    <w:rsid w:val="66150023"/>
    <w:rsid w:val="6628010D"/>
    <w:rsid w:val="669B4528"/>
    <w:rsid w:val="66CC12D7"/>
    <w:rsid w:val="67134CEF"/>
    <w:rsid w:val="671F1ABD"/>
    <w:rsid w:val="67521A59"/>
    <w:rsid w:val="67C304AB"/>
    <w:rsid w:val="683F0658"/>
    <w:rsid w:val="689C6793"/>
    <w:rsid w:val="68DB0208"/>
    <w:rsid w:val="68FB170C"/>
    <w:rsid w:val="691B3D98"/>
    <w:rsid w:val="693748F0"/>
    <w:rsid w:val="69846A0E"/>
    <w:rsid w:val="69AA1366"/>
    <w:rsid w:val="69AD798C"/>
    <w:rsid w:val="69D005C0"/>
    <w:rsid w:val="69D80B96"/>
    <w:rsid w:val="6B68175F"/>
    <w:rsid w:val="6BFD799F"/>
    <w:rsid w:val="6C4A2E5A"/>
    <w:rsid w:val="6C4F6842"/>
    <w:rsid w:val="6C8138D0"/>
    <w:rsid w:val="6CEF0725"/>
    <w:rsid w:val="6D4B2604"/>
    <w:rsid w:val="6D8030E4"/>
    <w:rsid w:val="6E0E35C4"/>
    <w:rsid w:val="6E0F7A08"/>
    <w:rsid w:val="6E3947F5"/>
    <w:rsid w:val="6E6E3938"/>
    <w:rsid w:val="6E9C74ED"/>
    <w:rsid w:val="6EF72976"/>
    <w:rsid w:val="6F795A80"/>
    <w:rsid w:val="6F7C1D2E"/>
    <w:rsid w:val="6F8E0407"/>
    <w:rsid w:val="6FDD069F"/>
    <w:rsid w:val="702B4D16"/>
    <w:rsid w:val="70AA6621"/>
    <w:rsid w:val="7111480F"/>
    <w:rsid w:val="71261F49"/>
    <w:rsid w:val="712E6956"/>
    <w:rsid w:val="71473612"/>
    <w:rsid w:val="71504F32"/>
    <w:rsid w:val="7152309F"/>
    <w:rsid w:val="718F7F65"/>
    <w:rsid w:val="71D15699"/>
    <w:rsid w:val="7233497F"/>
    <w:rsid w:val="727B234E"/>
    <w:rsid w:val="72D068C7"/>
    <w:rsid w:val="72E42ED8"/>
    <w:rsid w:val="735F4CB9"/>
    <w:rsid w:val="73674C62"/>
    <w:rsid w:val="73845865"/>
    <w:rsid w:val="739B6D9E"/>
    <w:rsid w:val="73BC1D76"/>
    <w:rsid w:val="73FB6630"/>
    <w:rsid w:val="748D790E"/>
    <w:rsid w:val="749820CC"/>
    <w:rsid w:val="74CE04EC"/>
    <w:rsid w:val="74E76DCD"/>
    <w:rsid w:val="751D7C0A"/>
    <w:rsid w:val="75722D56"/>
    <w:rsid w:val="75DB5477"/>
    <w:rsid w:val="75FC6AC3"/>
    <w:rsid w:val="7616619B"/>
    <w:rsid w:val="76660D7C"/>
    <w:rsid w:val="766C5968"/>
    <w:rsid w:val="76BE0C8F"/>
    <w:rsid w:val="76CD53B2"/>
    <w:rsid w:val="770719AC"/>
    <w:rsid w:val="776526CC"/>
    <w:rsid w:val="77A262E1"/>
    <w:rsid w:val="77B13C33"/>
    <w:rsid w:val="77ED6F44"/>
    <w:rsid w:val="77F45548"/>
    <w:rsid w:val="780937FF"/>
    <w:rsid w:val="784E7CA6"/>
    <w:rsid w:val="78574801"/>
    <w:rsid w:val="7873527F"/>
    <w:rsid w:val="790A6425"/>
    <w:rsid w:val="790E2D96"/>
    <w:rsid w:val="791B54B2"/>
    <w:rsid w:val="795A0A34"/>
    <w:rsid w:val="797339C3"/>
    <w:rsid w:val="79D57D57"/>
    <w:rsid w:val="79F00650"/>
    <w:rsid w:val="7A6242BF"/>
    <w:rsid w:val="7A794513"/>
    <w:rsid w:val="7AE952D2"/>
    <w:rsid w:val="7C7248A0"/>
    <w:rsid w:val="7C976D69"/>
    <w:rsid w:val="7CD752DA"/>
    <w:rsid w:val="7CDE40AB"/>
    <w:rsid w:val="7CF057E2"/>
    <w:rsid w:val="7D1548B5"/>
    <w:rsid w:val="7DF84014"/>
    <w:rsid w:val="7E207949"/>
    <w:rsid w:val="7E5C0A47"/>
    <w:rsid w:val="7E670C75"/>
    <w:rsid w:val="7EE24272"/>
    <w:rsid w:val="7EEA6053"/>
    <w:rsid w:val="7F487C04"/>
    <w:rsid w:val="7FB45F21"/>
    <w:rsid w:val="7FE57088"/>
    <w:rsid w:val="7FF37FA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Body Text"/>
    <w:basedOn w:val="1"/>
    <w:qFormat/>
    <w:uiPriority w:val="1"/>
    <w:rPr>
      <w:rFonts w:ascii="宋体" w:hAnsi="宋体" w:eastAsia="宋体" w:cs="宋体"/>
      <w:sz w:val="32"/>
      <w:szCs w:val="32"/>
      <w:lang w:val="zh-CN" w:eastAsia="zh-CN" w:bidi="zh-CN"/>
    </w:rPr>
  </w:style>
  <w:style w:type="paragraph" w:styleId="4">
    <w:name w:val="toc 3"/>
    <w:basedOn w:val="1"/>
    <w:next w:val="1"/>
    <w:qFormat/>
    <w:uiPriority w:val="0"/>
    <w:pPr>
      <w:ind w:left="840" w:leftChars="400"/>
    </w:p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toc 1"/>
    <w:basedOn w:val="1"/>
    <w:next w:val="1"/>
    <w:qFormat/>
    <w:uiPriority w:val="0"/>
  </w:style>
  <w:style w:type="paragraph" w:styleId="8">
    <w:name w:val="toc 2"/>
    <w:basedOn w:val="1"/>
    <w:next w:val="1"/>
    <w:qFormat/>
    <w:uiPriority w:val="0"/>
    <w:pPr>
      <w:ind w:left="420" w:leftChars="200"/>
    </w:pPr>
  </w:style>
  <w:style w:type="paragraph" w:styleId="9">
    <w:name w:val="Normal (Web)"/>
    <w:basedOn w:val="1"/>
    <w:qFormat/>
    <w:uiPriority w:val="0"/>
    <w:pPr>
      <w:spacing w:before="100" w:beforeAutospacing="1" w:after="100" w:afterAutospacing="1"/>
      <w:ind w:left="0" w:right="0"/>
      <w:jc w:val="left"/>
    </w:pPr>
    <w:rPr>
      <w:kern w:val="0"/>
      <w:sz w:val="24"/>
      <w:lang w:val="en-US" w:eastAsia="zh-CN" w:bidi="ar"/>
    </w:rPr>
  </w:style>
  <w:style w:type="character" w:styleId="12">
    <w:name w:val="Strong"/>
    <w:basedOn w:val="11"/>
    <w:qFormat/>
    <w:uiPriority w:val="0"/>
    <w:rPr>
      <w:b/>
    </w:rPr>
  </w:style>
  <w:style w:type="paragraph" w:customStyle="1" w:styleId="13">
    <w:name w:val="WPSOffice手动目录 3"/>
    <w:qFormat/>
    <w:uiPriority w:val="0"/>
    <w:pPr>
      <w:ind w:leftChars="400"/>
    </w:pPr>
    <w:rPr>
      <w:rFonts w:ascii="Times New Roman" w:hAnsi="Times New Roman" w:eastAsia="宋体" w:cs="Times New Roman"/>
      <w:sz w:val="20"/>
      <w:szCs w:val="20"/>
    </w:rPr>
  </w:style>
  <w:style w:type="paragraph" w:customStyle="1" w:styleId="14">
    <w:name w:val="WPSOffice手动目录 2"/>
    <w:qFormat/>
    <w:uiPriority w:val="0"/>
    <w:pPr>
      <w:ind w:leftChars="200"/>
    </w:pPr>
    <w:rPr>
      <w:rFonts w:ascii="Times New Roman" w:hAnsi="Times New Roman" w:eastAsia="宋体" w:cs="Times New Roman"/>
      <w:sz w:val="20"/>
      <w:szCs w:val="20"/>
    </w:rPr>
  </w:style>
  <w:style w:type="paragraph" w:customStyle="1" w:styleId="15">
    <w:name w:val="WPSOffice手动目录 1"/>
    <w:qFormat/>
    <w:uiPriority w:val="0"/>
    <w:pPr>
      <w:ind w:leftChars="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21</Pages>
  <Words>6457</Words>
  <Characters>7222</Characters>
  <Lines>0</Lines>
  <Paragraphs>0</Paragraphs>
  <TotalTime>4</TotalTime>
  <ScaleCrop>false</ScaleCrop>
  <LinksUpToDate>false</LinksUpToDate>
  <CharactersWithSpaces>7237</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GXR</dc:creator>
  <cp:lastModifiedBy>Administrator</cp:lastModifiedBy>
  <dcterms:modified xsi:type="dcterms:W3CDTF">2024-08-28T11:00:14Z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y fmtid="{D5CDD505-2E9C-101B-9397-08002B2CF9AE}" pid="3" name="ICV">
    <vt:lpwstr>D624B15633CD43C8BF9435464A96BF70</vt:lpwstr>
  </property>
  <property fmtid="{D5CDD505-2E9C-101B-9397-08002B2CF9AE}" pid="4" name="KSOSaveFontToCloudKey">
    <vt:lpwstr>378728392_embed</vt:lpwstr>
  </property>
</Properties>
</file>