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bidi w:val="0"/>
        <w:adjustRightInd/>
        <w:snapToGrid/>
        <w:spacing w:line="240" w:lineRule="auto"/>
        <w:textAlignment w:val="auto"/>
        <w:rPr>
          <w:rFonts w:ascii="黑体" w:hAnsi="黑体" w:eastAsia="黑体"/>
          <w:color w:val="auto"/>
          <w:sz w:val="32"/>
          <w:szCs w:val="32"/>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lang w:val="en-US" w:eastAsia="zh-CN"/>
        </w:rPr>
        <w:t>新疆维吾尔自治区民族事务委员会（宗教事务局）本级</w:t>
      </w:r>
      <w:r>
        <w:rPr>
          <w:rFonts w:hint="eastAsia" w:ascii="方正小标宋_GBK" w:hAnsi="宋体" w:eastAsia="方正小标宋_GBK"/>
          <w:color w:val="auto"/>
          <w:sz w:val="44"/>
          <w:szCs w:val="44"/>
          <w:highlight w:val="none"/>
          <w:lang w:eastAsia="zh-CN"/>
        </w:rPr>
        <w:t>2023年度</w:t>
      </w:r>
      <w:r>
        <w:rPr>
          <w:rFonts w:hint="eastAsia" w:ascii="方正小标宋_GBK" w:hAnsi="宋体" w:eastAsia="方正小标宋_GBK"/>
          <w:color w:val="auto"/>
          <w:sz w:val="44"/>
          <w:szCs w:val="44"/>
          <w:highlight w:val="none"/>
        </w:rPr>
        <w:t>部门决算</w:t>
      </w:r>
    </w:p>
    <w:p>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t>公开说明</w:t>
      </w:r>
    </w:p>
    <w:p>
      <w:pPr>
        <w:rPr>
          <w:rFonts w:hint="eastAsia" w:ascii="方正小标宋_GBK" w:hAnsi="宋体" w:eastAsia="方正小标宋_GBK"/>
          <w:color w:val="auto"/>
          <w:sz w:val="44"/>
          <w:szCs w:val="44"/>
          <w:highlight w:val="none"/>
        </w:rPr>
      </w:pPr>
      <w:r>
        <w:rPr>
          <w:rFonts w:hint="eastAsia" w:ascii="方正小标宋_GBK" w:hAnsi="宋体" w:eastAsia="方正小标宋_GBK"/>
          <w:color w:val="auto"/>
          <w:sz w:val="44"/>
          <w:szCs w:val="44"/>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left="0" w:leftChars="0"/>
        <w:jc w:val="center"/>
        <w:textAlignment w:val="auto"/>
        <w:rPr>
          <w:rFonts w:hint="eastAsia" w:ascii="仿宋_GB2312" w:hAnsi="仿宋_GB2312" w:eastAsia="仿宋_GB2312" w:cs="仿宋_GB2312"/>
          <w:b w:val="0"/>
          <w:bCs/>
          <w:color w:val="auto"/>
          <w:kern w:val="0"/>
          <w:sz w:val="32"/>
          <w:szCs w:val="32"/>
          <w:highlight w:val="none"/>
        </w:rPr>
      </w:pPr>
      <w:r>
        <w:rPr>
          <w:rFonts w:hint="eastAsia" w:ascii="仿宋_GB2312" w:hAnsi="仿宋_GB2312" w:eastAsia="仿宋_GB2312" w:cs="仿宋_GB2312"/>
          <w:b/>
          <w:bCs w:val="0"/>
          <w:color w:val="auto"/>
          <w:kern w:val="0"/>
          <w:sz w:val="36"/>
          <w:szCs w:val="36"/>
          <w:highlight w:val="none"/>
        </w:rPr>
        <w:t>目  录</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TOC \o "1-3" \n  \h \u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_Toc32314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 xml:space="preserve">第一部分 </w:t>
      </w:r>
      <w:r>
        <w:rPr>
          <w:rFonts w:hint="eastAsia" w:ascii="仿宋_GB2312" w:hAnsi="仿宋_GB2312" w:eastAsia="仿宋_GB2312" w:cs="仿宋_GB2312"/>
          <w:b/>
          <w:bCs/>
          <w:color w:val="auto"/>
          <w:sz w:val="32"/>
          <w:szCs w:val="32"/>
          <w:highlight w:val="none"/>
          <w:lang w:eastAsia="zh-CN"/>
        </w:rPr>
        <w:t>单位</w:t>
      </w:r>
      <w:r>
        <w:rPr>
          <w:rFonts w:hint="eastAsia" w:ascii="仿宋_GB2312" w:hAnsi="仿宋_GB2312" w:eastAsia="仿宋_GB2312" w:cs="仿宋_GB2312"/>
          <w:b/>
          <w:bCs/>
          <w:color w:val="auto"/>
          <w:sz w:val="32"/>
          <w:szCs w:val="32"/>
          <w:highlight w:val="none"/>
        </w:rPr>
        <w:t>概况</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_Toc30567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一、主要职能</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二、机构设置</w:t>
      </w:r>
      <w:r>
        <w:rPr>
          <w:rFonts w:hint="eastAsia" w:ascii="仿宋_GB2312" w:hAnsi="仿宋_GB2312" w:eastAsia="仿宋_GB2312" w:cs="仿宋_GB2312"/>
          <w:bCs/>
          <w:color w:val="auto"/>
          <w:kern w:val="0"/>
          <w:sz w:val="32"/>
          <w:szCs w:val="32"/>
          <w:highlight w:val="none"/>
          <w:lang w:eastAsia="zh-CN"/>
        </w:rPr>
        <w:t>及人员</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_Toc29374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第二部分 部门决算情况说明</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_Toc25314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_Toc12142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二、</w:t>
      </w:r>
      <w:r>
        <w:rPr>
          <w:rFonts w:hint="eastAsia" w:ascii="仿宋_GB2312" w:hAnsi="仿宋_GB2312" w:eastAsia="仿宋_GB2312" w:cs="仿宋_GB2312"/>
          <w:bCs/>
          <w:color w:val="auto"/>
          <w:kern w:val="0"/>
          <w:sz w:val="32"/>
          <w:szCs w:val="32"/>
          <w:highlight w:val="none"/>
        </w:rPr>
        <w:t>收入</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_Toc13201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三、支出决算情况说明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_Toc26564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四、财政拨款收入支出决算总体情况说明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_Toc20360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五、一般公共预算财政拨款支出决算情况说明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_Toc30870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六、一般公共预算财政拨款基本支出决算情况说明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_Toc21518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七</w:t>
      </w:r>
      <w:r>
        <w:rPr>
          <w:rFonts w:hint="eastAsia" w:ascii="仿宋_GB2312" w:hAnsi="仿宋_GB2312" w:eastAsia="仿宋_GB2312" w:cs="仿宋_GB2312"/>
          <w:bCs/>
          <w:color w:val="auto"/>
          <w:kern w:val="0"/>
          <w:sz w:val="32"/>
          <w:szCs w:val="32"/>
          <w:highlight w:val="none"/>
        </w:rPr>
        <w:t>、</w:t>
      </w:r>
      <w:r>
        <w:rPr>
          <w:rFonts w:hint="eastAsia" w:ascii="仿宋_GB2312" w:hAnsi="仿宋_GB2312" w:eastAsia="仿宋_GB2312" w:cs="仿宋_GB2312"/>
          <w:bCs/>
          <w:color w:val="auto"/>
          <w:kern w:val="0"/>
          <w:sz w:val="32"/>
          <w:szCs w:val="32"/>
          <w:highlight w:val="none"/>
          <w:lang w:eastAsia="zh-CN"/>
        </w:rPr>
        <w:t>财政拨款</w:t>
      </w:r>
      <w:r>
        <w:rPr>
          <w:rFonts w:hint="eastAsia" w:ascii="仿宋_GB2312" w:hAnsi="仿宋_GB2312" w:eastAsia="仿宋_GB2312" w:cs="仿宋_GB2312"/>
          <w:bCs/>
          <w:color w:val="auto"/>
          <w:kern w:val="0"/>
          <w:sz w:val="32"/>
          <w:szCs w:val="32"/>
          <w:highlight w:val="none"/>
        </w:rPr>
        <w:t>“三公”经费支出</w:t>
      </w:r>
      <w:r>
        <w:rPr>
          <w:rFonts w:hint="eastAsia" w:ascii="仿宋_GB2312" w:hAnsi="仿宋_GB2312" w:eastAsia="仿宋_GB2312" w:cs="仿宋_GB2312"/>
          <w:bCs/>
          <w:color w:val="auto"/>
          <w:kern w:val="0"/>
          <w:sz w:val="32"/>
          <w:szCs w:val="32"/>
          <w:highlight w:val="none"/>
          <w:lang w:eastAsia="zh-CN"/>
        </w:rPr>
        <w:t>决算</w:t>
      </w:r>
      <w:r>
        <w:rPr>
          <w:rFonts w:hint="eastAsia" w:ascii="仿宋_GB2312" w:hAnsi="仿宋_GB2312" w:eastAsia="仿宋_GB2312" w:cs="仿宋_GB2312"/>
          <w:bCs/>
          <w:color w:val="auto"/>
          <w:kern w:val="0"/>
          <w:sz w:val="32"/>
          <w:szCs w:val="32"/>
          <w:highlight w:val="none"/>
        </w:rPr>
        <w:t>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lang w:eastAsia="zh-CN"/>
        </w:rPr>
        <w:t>政府性基金预算财政拨款收入支出决算情况说明</w:t>
      </w:r>
      <w:r>
        <w:rPr>
          <w:rFonts w:hint="eastAsia" w:ascii="仿宋_GB2312" w:hAnsi="仿宋_GB2312" w:eastAsia="仿宋_GB2312" w:cs="仿宋_GB2312"/>
          <w:color w:val="auto"/>
          <w:sz w:val="32"/>
          <w:szCs w:val="32"/>
          <w:highlight w:val="none"/>
        </w:rPr>
        <w:fldChar w:fldCharType="end"/>
      </w:r>
    </w:p>
    <w:p>
      <w:pPr>
        <w:rPr>
          <w:rFonts w:hint="eastAsia"/>
          <w:color w:val="auto"/>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_Toc5810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、国有资本经营预算财政拨款收入支出决算情况说明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_Toc1235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十</w:t>
      </w:r>
      <w:r>
        <w:rPr>
          <w:rFonts w:hint="eastAsia" w:ascii="仿宋_GB2312" w:hAnsi="仿宋_GB2312" w:eastAsia="仿宋_GB2312" w:cs="仿宋_GB2312"/>
          <w:bCs/>
          <w:color w:val="auto"/>
          <w:kern w:val="0"/>
          <w:sz w:val="32"/>
          <w:szCs w:val="32"/>
          <w:highlight w:val="none"/>
        </w:rPr>
        <w:t>、其他重要事项的情况</w:t>
      </w:r>
      <w:r>
        <w:rPr>
          <w:rFonts w:hint="eastAsia" w:ascii="仿宋_GB2312" w:hAnsi="仿宋_GB2312" w:eastAsia="仿宋_GB2312" w:cs="仿宋_GB2312"/>
          <w:bCs/>
          <w:color w:val="auto"/>
          <w:kern w:val="0"/>
          <w:sz w:val="32"/>
          <w:szCs w:val="32"/>
          <w:highlight w:val="none"/>
          <w:lang w:eastAsia="zh-CN"/>
        </w:rPr>
        <w:t>说明</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_Toc14519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（一）</w:t>
      </w:r>
      <w:r>
        <w:rPr>
          <w:rFonts w:hint="eastAsia" w:ascii="仿宋_GB2312" w:hAnsi="仿宋_GB2312" w:eastAsia="仿宋_GB2312" w:cs="仿宋_GB2312"/>
          <w:color w:val="auto"/>
          <w:sz w:val="32"/>
          <w:szCs w:val="32"/>
          <w:highlight w:val="none"/>
        </w:rPr>
        <w:t>机关运行经费支出情况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_Toc227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（二）政府采购情况</w:t>
      </w:r>
      <w:r>
        <w:rPr>
          <w:rFonts w:hint="eastAsia" w:ascii="仿宋_GB2312" w:hAnsi="仿宋_GB2312" w:eastAsia="仿宋_GB2312" w:cs="仿宋_GB2312"/>
          <w:color w:val="auto"/>
          <w:sz w:val="32"/>
          <w:szCs w:val="32"/>
          <w:highlight w:val="none"/>
        </w:rPr>
        <w:fldChar w:fldCharType="end"/>
      </w:r>
    </w:p>
    <w:p>
      <w:pPr>
        <w:pStyle w:val="4"/>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_Toc8391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color w:val="auto"/>
          <w:sz w:val="32"/>
          <w:szCs w:val="32"/>
          <w:highlight w:val="none"/>
          <w:lang w:eastAsia="zh-CN"/>
        </w:rPr>
        <w:t>（三）国有资产占用情况说明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_Toc11283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lang w:eastAsia="zh-CN"/>
        </w:rPr>
        <w:t>十</w:t>
      </w:r>
      <w:r>
        <w:rPr>
          <w:rFonts w:hint="eastAsia" w:ascii="仿宋_GB2312" w:hAnsi="仿宋_GB2312" w:eastAsia="仿宋_GB2312" w:cs="仿宋_GB2312"/>
          <w:bCs/>
          <w:color w:val="auto"/>
          <w:kern w:val="0"/>
          <w:sz w:val="32"/>
          <w:szCs w:val="32"/>
          <w:highlight w:val="none"/>
          <w:lang w:val="en-US" w:eastAsia="zh-CN"/>
        </w:rPr>
        <w:t>一</w:t>
      </w:r>
      <w:r>
        <w:rPr>
          <w:rFonts w:hint="eastAsia" w:ascii="仿宋_GB2312" w:hAnsi="仿宋_GB2312" w:eastAsia="仿宋_GB2312" w:cs="仿宋_GB2312"/>
          <w:bCs/>
          <w:color w:val="auto"/>
          <w:kern w:val="0"/>
          <w:sz w:val="32"/>
          <w:szCs w:val="32"/>
          <w:highlight w:val="none"/>
          <w:lang w:eastAsia="zh-CN"/>
        </w:rPr>
        <w:t>、预算绩效的情况说明</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十二、其他需说明的事项</w:t>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_Toc3250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第三部分 专业名词解释</w:t>
      </w:r>
      <w:r>
        <w:rPr>
          <w:rFonts w:hint="eastAsia" w:ascii="仿宋_GB2312" w:hAnsi="仿宋_GB2312" w:eastAsia="仿宋_GB2312" w:cs="仿宋_GB2312"/>
          <w:b/>
          <w:bCs/>
          <w:color w:val="auto"/>
          <w:sz w:val="32"/>
          <w:szCs w:val="32"/>
          <w:highlight w:val="none"/>
        </w:rPr>
        <w:fldChar w:fldCharType="end"/>
      </w:r>
    </w:p>
    <w:p>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fldChar w:fldCharType="begin"/>
      </w:r>
      <w:r>
        <w:rPr>
          <w:rFonts w:hint="eastAsia" w:ascii="仿宋_GB2312" w:hAnsi="仿宋_GB2312" w:eastAsia="仿宋_GB2312" w:cs="仿宋_GB2312"/>
          <w:b/>
          <w:bCs/>
          <w:color w:val="auto"/>
          <w:sz w:val="32"/>
          <w:szCs w:val="32"/>
          <w:highlight w:val="none"/>
        </w:rPr>
        <w:instrText xml:space="preserve"> HYPERLINK \l _Toc22784 </w:instrText>
      </w:r>
      <w:r>
        <w:rPr>
          <w:rFonts w:hint="eastAsia" w:ascii="仿宋_GB2312" w:hAnsi="仿宋_GB2312" w:eastAsia="仿宋_GB2312" w:cs="仿宋_GB2312"/>
          <w:b/>
          <w:bCs/>
          <w:color w:val="auto"/>
          <w:sz w:val="32"/>
          <w:szCs w:val="32"/>
          <w:highlight w:val="none"/>
        </w:rPr>
        <w:fldChar w:fldCharType="separate"/>
      </w:r>
      <w:r>
        <w:rPr>
          <w:rFonts w:hint="eastAsia" w:ascii="仿宋_GB2312" w:hAnsi="仿宋_GB2312" w:eastAsia="仿宋_GB2312" w:cs="仿宋_GB2312"/>
          <w:b/>
          <w:bCs/>
          <w:color w:val="auto"/>
          <w:sz w:val="32"/>
          <w:szCs w:val="32"/>
          <w:highlight w:val="none"/>
        </w:rPr>
        <w:t>第四部分 部门决算报表（见附表）</w:t>
      </w:r>
      <w:r>
        <w:rPr>
          <w:rFonts w:hint="eastAsia" w:ascii="仿宋_GB2312" w:hAnsi="仿宋_GB2312" w:eastAsia="仿宋_GB2312" w:cs="仿宋_GB2312"/>
          <w:b/>
          <w:bCs/>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_Toc2183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一、《收入支出决算总表》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_Toc24532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二、《收入决算表》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_Toc32434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三、《支出决算表》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_Toc28786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四、《财政拨款收入支出决算总表》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_Toc14869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五、《一般公共预算财政拨款支出决算表》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_Toc8884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六、《一般公共预算财政拨款基本支出决算表》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fldChar w:fldCharType="begin"/>
      </w:r>
      <w:r>
        <w:rPr>
          <w:rFonts w:hint="eastAsia" w:ascii="仿宋_GB2312" w:hAnsi="仿宋_GB2312" w:eastAsia="仿宋_GB2312" w:cs="仿宋_GB2312"/>
          <w:color w:val="auto"/>
          <w:sz w:val="32"/>
          <w:szCs w:val="32"/>
          <w:highlight w:val="none"/>
        </w:rPr>
        <w:instrText xml:space="preserve"> HYPERLINK \l _Toc29106 </w:instrText>
      </w:r>
      <w:r>
        <w:rPr>
          <w:rFonts w:hint="eastAsia" w:ascii="仿宋_GB2312" w:hAnsi="仿宋_GB2312" w:eastAsia="仿宋_GB2312" w:cs="仿宋_GB2312"/>
          <w:color w:val="auto"/>
          <w:sz w:val="32"/>
          <w:szCs w:val="32"/>
          <w:highlight w:val="none"/>
        </w:rPr>
        <w:fldChar w:fldCharType="separate"/>
      </w:r>
      <w:r>
        <w:rPr>
          <w:rFonts w:hint="eastAsia" w:ascii="仿宋_GB2312" w:hAnsi="仿宋_GB2312" w:eastAsia="仿宋_GB2312" w:cs="仿宋_GB2312"/>
          <w:bCs/>
          <w:color w:val="auto"/>
          <w:kern w:val="0"/>
          <w:sz w:val="32"/>
          <w:szCs w:val="32"/>
          <w:highlight w:val="none"/>
        </w:rPr>
        <w:t>七、《财政拨款“三公”经费支出决算表》</w:t>
      </w:r>
      <w:r>
        <w:rPr>
          <w:rFonts w:hint="eastAsia" w:ascii="仿宋_GB2312" w:hAnsi="仿宋_GB2312" w:eastAsia="仿宋_GB2312" w:cs="仿宋_GB2312"/>
          <w:color w:val="auto"/>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rPr>
      </w:pPr>
      <w:r>
        <w:rPr>
          <w:rFonts w:hint="eastAsia" w:ascii="仿宋_GB2312" w:hAnsi="仿宋_GB2312" w:eastAsia="仿宋_GB2312" w:cs="仿宋_GB2312"/>
          <w:bCs/>
          <w:color w:val="auto"/>
          <w:kern w:val="0"/>
          <w:sz w:val="32"/>
          <w:szCs w:val="32"/>
          <w:highlight w:val="none"/>
        </w:rPr>
        <w:fldChar w:fldCharType="begin"/>
      </w:r>
      <w:r>
        <w:rPr>
          <w:rFonts w:hint="eastAsia" w:ascii="仿宋_GB2312" w:hAnsi="仿宋_GB2312" w:eastAsia="仿宋_GB2312" w:cs="仿宋_GB2312"/>
          <w:bCs/>
          <w:color w:val="auto"/>
          <w:kern w:val="0"/>
          <w:sz w:val="32"/>
          <w:szCs w:val="32"/>
          <w:highlight w:val="none"/>
        </w:rPr>
        <w:instrText xml:space="preserve"> HYPERLINK \l _Toc7643 </w:instrText>
      </w:r>
      <w:r>
        <w:rPr>
          <w:rFonts w:hint="eastAsia" w:ascii="仿宋_GB2312" w:hAnsi="仿宋_GB2312" w:eastAsia="仿宋_GB2312" w:cs="仿宋_GB2312"/>
          <w:bCs/>
          <w:color w:val="auto"/>
          <w:kern w:val="0"/>
          <w:sz w:val="32"/>
          <w:szCs w:val="32"/>
          <w:highlight w:val="none"/>
        </w:rPr>
        <w:fldChar w:fldCharType="separate"/>
      </w:r>
      <w:r>
        <w:rPr>
          <w:rFonts w:hint="eastAsia" w:ascii="仿宋_GB2312" w:hAnsi="仿宋_GB2312" w:eastAsia="仿宋_GB2312" w:cs="仿宋_GB2312"/>
          <w:bCs/>
          <w:color w:val="auto"/>
          <w:kern w:val="0"/>
          <w:sz w:val="32"/>
          <w:szCs w:val="32"/>
          <w:highlight w:val="none"/>
          <w:lang w:val="en-US" w:eastAsia="zh-CN"/>
        </w:rPr>
        <w:t>八、</w:t>
      </w:r>
      <w:r>
        <w:rPr>
          <w:rFonts w:hint="eastAsia" w:ascii="仿宋_GB2312" w:hAnsi="仿宋_GB2312" w:eastAsia="仿宋_GB2312" w:cs="仿宋_GB2312"/>
          <w:bCs/>
          <w:color w:val="auto"/>
          <w:kern w:val="0"/>
          <w:sz w:val="32"/>
          <w:szCs w:val="32"/>
          <w:highlight w:val="none"/>
        </w:rPr>
        <w:t>《政府性基金预算财政拨款收入支出决算表》</w:t>
      </w:r>
      <w:r>
        <w:rPr>
          <w:rFonts w:hint="eastAsia" w:ascii="仿宋_GB2312" w:hAnsi="仿宋_GB2312" w:eastAsia="仿宋_GB2312" w:cs="仿宋_GB2312"/>
          <w:bCs/>
          <w:color w:val="auto"/>
          <w:kern w:val="0"/>
          <w:sz w:val="32"/>
          <w:szCs w:val="32"/>
          <w:highlight w:val="none"/>
        </w:rPr>
        <w:fldChar w:fldCharType="end"/>
      </w:r>
    </w:p>
    <w:p>
      <w:pPr>
        <w:pStyle w:val="8"/>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Cs/>
          <w:color w:val="auto"/>
          <w:kern w:val="0"/>
          <w:sz w:val="32"/>
          <w:szCs w:val="32"/>
          <w:highlight w:val="none"/>
          <w:lang w:eastAsia="zh-CN"/>
        </w:rPr>
      </w:pPr>
      <w:r>
        <w:rPr>
          <w:rFonts w:hint="eastAsia" w:ascii="仿宋_GB2312" w:hAnsi="仿宋_GB2312" w:eastAsia="仿宋_GB2312" w:cs="仿宋_GB2312"/>
          <w:bCs/>
          <w:color w:val="auto"/>
          <w:kern w:val="0"/>
          <w:sz w:val="32"/>
          <w:szCs w:val="32"/>
          <w:highlight w:val="none"/>
          <w:lang w:val="en-US" w:eastAsia="zh-CN"/>
        </w:rPr>
        <w:t>九</w:t>
      </w:r>
      <w:r>
        <w:rPr>
          <w:rFonts w:hint="eastAsia" w:ascii="仿宋_GB2312" w:hAnsi="仿宋_GB2312" w:eastAsia="仿宋_GB2312" w:cs="仿宋_GB2312"/>
          <w:bCs/>
          <w:color w:val="auto"/>
          <w:kern w:val="0"/>
          <w:sz w:val="32"/>
          <w:szCs w:val="32"/>
          <w:highlight w:val="none"/>
          <w:lang w:eastAsia="zh-CN"/>
        </w:rPr>
        <w:t>、《国有资本经营</w:t>
      </w:r>
      <w:r>
        <w:rPr>
          <w:rFonts w:hint="eastAsia" w:ascii="仿宋_GB2312" w:hAnsi="仿宋_GB2312" w:eastAsia="仿宋_GB2312" w:cs="仿宋_GB2312"/>
          <w:bCs/>
          <w:color w:val="auto"/>
          <w:kern w:val="0"/>
          <w:sz w:val="32"/>
          <w:szCs w:val="32"/>
          <w:highlight w:val="none"/>
        </w:rPr>
        <w:t>预算财政拨款收入支出决算表</w:t>
      </w:r>
      <w:r>
        <w:rPr>
          <w:rFonts w:hint="eastAsia" w:ascii="仿宋_GB2312" w:hAnsi="仿宋_GB2312" w:eastAsia="仿宋_GB2312" w:cs="仿宋_GB2312"/>
          <w:bCs/>
          <w:color w:val="auto"/>
          <w:kern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left="0" w:leftChars="0"/>
        <w:jc w:val="both"/>
        <w:textAlignment w:val="auto"/>
        <w:rPr>
          <w:color w:val="auto"/>
          <w:highlight w:val="none"/>
        </w:rPr>
      </w:pPr>
      <w:r>
        <w:rPr>
          <w:rFonts w:hint="eastAsia" w:ascii="仿宋_GB2312" w:hAnsi="仿宋_GB2312" w:eastAsia="仿宋_GB2312" w:cs="仿宋_GB2312"/>
          <w:color w:val="auto"/>
          <w:sz w:val="32"/>
          <w:szCs w:val="32"/>
          <w:highlight w:val="none"/>
        </w:rPr>
        <w:fldChar w:fldCharType="end"/>
      </w:r>
    </w:p>
    <w:p>
      <w:pPr>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0" w:name="_Toc32314"/>
      <w:bookmarkStart w:id="1" w:name="_Toc24028"/>
      <w:r>
        <w:rPr>
          <w:rFonts w:hint="eastAsia" w:ascii="黑体" w:hAnsi="黑体" w:eastAsia="黑体"/>
          <w:color w:val="auto"/>
          <w:sz w:val="32"/>
          <w:szCs w:val="32"/>
          <w:highlight w:val="none"/>
        </w:rPr>
        <w:t xml:space="preserve">第一部分 </w:t>
      </w:r>
      <w:r>
        <w:rPr>
          <w:rFonts w:hint="eastAsia" w:ascii="黑体" w:hAnsi="黑体" w:eastAsia="黑体"/>
          <w:color w:val="auto"/>
          <w:sz w:val="32"/>
          <w:szCs w:val="32"/>
          <w:highlight w:val="none"/>
          <w:lang w:eastAsia="zh-CN"/>
        </w:rPr>
        <w:t>单位</w:t>
      </w:r>
      <w:r>
        <w:rPr>
          <w:rFonts w:hint="eastAsia" w:ascii="黑体" w:hAnsi="黑体" w:eastAsia="黑体"/>
          <w:color w:val="auto"/>
          <w:sz w:val="32"/>
          <w:szCs w:val="32"/>
          <w:highlight w:val="none"/>
        </w:rPr>
        <w:t>概况</w:t>
      </w:r>
      <w:bookmarkEnd w:id="0"/>
      <w:bookmarkEnd w:id="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ascii="黑体" w:hAnsi="黑体" w:eastAsia="黑体" w:cs="宋体"/>
          <w:bCs/>
          <w:color w:val="auto"/>
          <w:kern w:val="0"/>
          <w:sz w:val="32"/>
          <w:szCs w:val="32"/>
          <w:highlight w:val="none"/>
        </w:rPr>
      </w:pPr>
      <w:bookmarkStart w:id="2" w:name="_Toc30738"/>
      <w:bookmarkStart w:id="3" w:name="_Toc30567"/>
      <w:r>
        <w:rPr>
          <w:rFonts w:hint="eastAsia" w:ascii="黑体" w:hAnsi="黑体" w:eastAsia="黑体" w:cs="宋体"/>
          <w:bCs/>
          <w:color w:val="auto"/>
          <w:kern w:val="0"/>
          <w:sz w:val="32"/>
          <w:szCs w:val="32"/>
          <w:highlight w:val="none"/>
        </w:rPr>
        <w:t>一、主要职能</w:t>
      </w:r>
      <w:bookmarkEnd w:id="2"/>
      <w:bookmarkEnd w:id="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根据《自治区党委办公厅 自治区人民政府办公厅关于调整新疆维吾尔自治区民族事务委员会职责机构编制的通知》，自治区民族事务委员会的机构定性调整为“民族事务委员会为自治区人民政府组成部门，为正厅级，归口自治区党委统战部领导，加挂自治区宗教事务局牌子”（以下简称自治区民委（宗教事务局））。主要职责有：</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1.贯彻实施有关法律、法规、规章，执行党中央、国务院关于民族宗教工作的方针、政策；组织开展民族宗教理论、民族宗教政策的宣传教育；组织开展民族宗教工作重大问题的调查研究并提出工作建议。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2.负责协调推动有关部门履行民族工作相关职责，促进民族政策在经济发展和社会事业有关领域的实施、衔接，对地（州、市）、县（市、区）政府民族工作进行业务指导；监督实施和完善民族区域自治制度建设，监督办理少数民族权益保障事宜。</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3.研究提出协调民族关系的原则和方法，协调处理民族关系中的重要事项， 参与协调维护社会稳定工作，促进各民族共同团结奋斗、共同繁荣发展，维护国家统一；承办自治区民族团结进步表彰活动。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4.参与拟订自治区经济社会相关领域的发展规划，协调有关部门执行中央对民族地区经济发展的特殊政策和措施；负责民族事务服务体系和民族事务管理信息化建设工作；参与协调科技发展、对口支援和经济技术协作等有关工作； 负责自治区清真食品有关监督管理工作。</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5.指导少数民族古籍的搜集、整理、出版工作；参与拟订少数民族人才队伍建设规划，联系少数民族干部,协助有关部门做好少数民族干部的培养、教育和使用工作。</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6.依法履行宗教事务管理职责，依法保护公民宗教信仰自由和正常的宗教活动，维护宗教界合法权益，促进宗教关系和谐。</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7.组织实施国家的宗教法律、法规和政策；引导、促进宗教在法律、法规和政策范围内活动；负责宗教事务管理方面的行政复议等法律事务。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8.指导宗教团体依法依章开展活动，支持宗教团体加强自身建设，推动宗教团体在宗教界开展爱国主义、社会主义、维护祖国统一和民族团结的自我教育，办理宗教团体需由政府解决或协调的有关事务；帮助宗教团体培养、教育宗教教职人员、办好宗教院校。</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9.指导地（州、市）、县（市、区）人民政府宗教事务部门依法履行管理职能，协助地（州、市）、县（市、区）人民政府处理宗教方面的重要问题，防范利用宗教进行的非法、违法活动，抵御境外利用宗教进行的渗透活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10.负责民族宗教方面的外事活动，指导宗教界开展同外国和港澳台地区宗教界的友好往来，参与涉及宗教对外宣传工作；负责自治区朝觐事务管理工作。</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承办自治区人民政府交办的其他事项。</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bookmarkStart w:id="4" w:name="_Toc31238"/>
      <w:bookmarkStart w:id="5" w:name="_Toc2151"/>
      <w:r>
        <w:rPr>
          <w:rFonts w:hint="eastAsia" w:ascii="黑体" w:hAnsi="黑体" w:eastAsia="黑体" w:cs="宋体"/>
          <w:bCs/>
          <w:color w:val="auto"/>
          <w:kern w:val="0"/>
          <w:sz w:val="32"/>
          <w:szCs w:val="32"/>
          <w:highlight w:val="none"/>
        </w:rPr>
        <w:t>二、机构设置</w:t>
      </w:r>
      <w:r>
        <w:rPr>
          <w:rFonts w:hint="eastAsia" w:ascii="黑体" w:hAnsi="黑体" w:eastAsia="黑体" w:cs="宋体"/>
          <w:bCs/>
          <w:color w:val="auto"/>
          <w:kern w:val="0"/>
          <w:sz w:val="32"/>
          <w:szCs w:val="32"/>
          <w:highlight w:val="none"/>
          <w:lang w:eastAsia="zh-CN"/>
        </w:rPr>
        <w:t>及</w:t>
      </w:r>
      <w:bookmarkEnd w:id="4"/>
      <w:r>
        <w:rPr>
          <w:rFonts w:hint="eastAsia" w:ascii="黑体" w:hAnsi="黑体" w:eastAsia="黑体" w:cs="宋体"/>
          <w:bCs/>
          <w:color w:val="auto"/>
          <w:kern w:val="0"/>
          <w:sz w:val="32"/>
          <w:szCs w:val="32"/>
          <w:highlight w:val="none"/>
          <w:lang w:eastAsia="zh-CN"/>
        </w:rPr>
        <w:t>人员</w:t>
      </w:r>
      <w:r>
        <w:rPr>
          <w:rFonts w:hint="eastAsia" w:ascii="黑体" w:hAnsi="黑体" w:eastAsia="黑体" w:cs="宋体"/>
          <w:bCs/>
          <w:color w:val="auto"/>
          <w:kern w:val="0"/>
          <w:sz w:val="32"/>
          <w:szCs w:val="32"/>
          <w:highlight w:val="none"/>
        </w:rPr>
        <w:t>情况</w:t>
      </w:r>
      <w:bookmarkEnd w:id="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b/>
          <w:color w:val="auto"/>
          <w:sz w:val="32"/>
          <w:szCs w:val="32"/>
          <w:highlight w:val="none"/>
        </w:rPr>
      </w:pPr>
      <w:r>
        <w:rPr>
          <w:rFonts w:hint="eastAsia" w:ascii="仿宋_GB2312" w:eastAsia="仿宋_GB2312"/>
          <w:color w:val="auto"/>
          <w:sz w:val="32"/>
          <w:szCs w:val="32"/>
          <w:highlight w:val="none"/>
          <w:lang w:val="en-US" w:eastAsia="zh-CN"/>
        </w:rPr>
        <w:t>新疆维吾尔自治区民族事务委员会（宗教事务局）</w:t>
      </w:r>
      <w:r>
        <w:rPr>
          <w:rFonts w:hint="eastAsia" w:ascii="仿宋_GB2312" w:eastAsia="仿宋_GB2312"/>
          <w:color w:val="auto"/>
          <w:sz w:val="32"/>
          <w:szCs w:val="32"/>
          <w:highlight w:val="none"/>
          <w:lang w:eastAsia="zh-CN"/>
        </w:rPr>
        <w:t>2023年度，</w:t>
      </w:r>
      <w:r>
        <w:rPr>
          <w:rFonts w:hint="eastAsia" w:ascii="仿宋_GB2312" w:eastAsia="仿宋_GB2312"/>
          <w:color w:val="auto"/>
          <w:sz w:val="32"/>
          <w:szCs w:val="32"/>
          <w:highlight w:val="none"/>
        </w:rPr>
        <w:t>实有人数</w:t>
      </w:r>
      <w:r>
        <w:rPr>
          <w:rFonts w:hint="eastAsia" w:ascii="仿宋_GB2312" w:eastAsia="仿宋_GB2312"/>
          <w:color w:val="auto"/>
          <w:sz w:val="32"/>
          <w:szCs w:val="32"/>
          <w:highlight w:val="none"/>
          <w:lang w:val="zh-CN" w:eastAsia="zh-CN"/>
        </w:rPr>
        <w:t>147</w:t>
      </w:r>
      <w:r>
        <w:rPr>
          <w:rFonts w:hint="eastAsia" w:ascii="仿宋_GB2312" w:eastAsia="仿宋_GB2312"/>
          <w:color w:val="auto"/>
          <w:sz w:val="32"/>
          <w:szCs w:val="32"/>
          <w:highlight w:val="none"/>
        </w:rPr>
        <w:t>人，其中：在职人员</w:t>
      </w:r>
      <w:r>
        <w:rPr>
          <w:rFonts w:hint="eastAsia" w:ascii="仿宋_GB2312" w:eastAsia="仿宋_GB2312"/>
          <w:color w:val="auto"/>
          <w:sz w:val="32"/>
          <w:szCs w:val="32"/>
          <w:highlight w:val="none"/>
          <w:lang w:val="zh-CN" w:eastAsia="zh-CN"/>
        </w:rPr>
        <w:t>80</w:t>
      </w:r>
      <w:r>
        <w:rPr>
          <w:rFonts w:hint="eastAsia" w:ascii="仿宋_GB2312" w:eastAsia="仿宋_GB2312"/>
          <w:color w:val="auto"/>
          <w:sz w:val="32"/>
          <w:szCs w:val="32"/>
          <w:highlight w:val="none"/>
        </w:rPr>
        <w:t>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离休人员</w:t>
      </w:r>
      <w:r>
        <w:rPr>
          <w:rFonts w:hint="eastAsia" w:ascii="仿宋_GB2312" w:eastAsia="仿宋_GB2312"/>
          <w:color w:val="auto"/>
          <w:sz w:val="32"/>
          <w:szCs w:val="32"/>
          <w:highlight w:val="none"/>
          <w:lang w:val="zh-CN" w:eastAsia="zh-CN"/>
        </w:rPr>
        <w:t>2</w:t>
      </w:r>
      <w:r>
        <w:rPr>
          <w:rFonts w:hint="eastAsia" w:ascii="仿宋_GB2312" w:eastAsia="仿宋_GB2312"/>
          <w:color w:val="auto"/>
          <w:sz w:val="32"/>
          <w:szCs w:val="32"/>
          <w:highlight w:val="none"/>
        </w:rPr>
        <w:t>人，退休人员</w:t>
      </w:r>
      <w:r>
        <w:rPr>
          <w:rFonts w:hint="eastAsia" w:ascii="仿宋_GB2312" w:eastAsia="仿宋_GB2312"/>
          <w:color w:val="auto"/>
          <w:sz w:val="32"/>
          <w:szCs w:val="32"/>
          <w:highlight w:val="none"/>
          <w:lang w:val="zh-CN" w:eastAsia="zh-CN"/>
        </w:rPr>
        <w:t>65</w:t>
      </w:r>
      <w:r>
        <w:rPr>
          <w:rFonts w:hint="eastAsia" w:ascii="仿宋_GB2312" w:eastAsia="仿宋_GB2312"/>
          <w:color w:val="auto"/>
          <w:sz w:val="32"/>
          <w:szCs w:val="32"/>
          <w:highlight w:val="none"/>
        </w:rPr>
        <w:t>人。</w:t>
      </w:r>
    </w:p>
    <w:p>
      <w:pPr>
        <w:keepNext w:val="0"/>
        <w:keepLines w:val="0"/>
        <w:pageBreakBefore w:val="0"/>
        <w:widowControl w:val="0"/>
        <w:kinsoku/>
        <w:wordWrap/>
        <w:overflowPunct/>
        <w:topLinePunct w:val="0"/>
        <w:bidi w:val="0"/>
        <w:adjustRightInd/>
        <w:snapToGrid/>
        <w:spacing w:line="240" w:lineRule="auto"/>
        <w:ind w:firstLine="640" w:firstLineChars="200"/>
        <w:jc w:val="both"/>
        <w:textAlignment w:val="auto"/>
        <w:rPr>
          <w:rFonts w:hint="eastAsia" w:ascii="仿宋_GB2312" w:eastAsia="仿宋_GB2312"/>
          <w:color w:val="auto"/>
          <w:sz w:val="32"/>
          <w:szCs w:val="32"/>
          <w:highlight w:val="none"/>
          <w:lang w:val="en-US" w:eastAsia="zh-CN"/>
        </w:rPr>
      </w:pPr>
      <w:r>
        <w:rPr>
          <w:rFonts w:hint="eastAsia" w:ascii="仿宋_GB2312" w:hAnsi="黑体" w:eastAsia="仿宋_GB2312" w:cs="宋体"/>
          <w:bCs/>
          <w:color w:val="auto"/>
          <w:kern w:val="0"/>
          <w:sz w:val="32"/>
          <w:szCs w:val="32"/>
          <w:highlight w:val="none"/>
        </w:rPr>
        <w:t>单位无下属预算单位，下设</w:t>
      </w:r>
      <w:r>
        <w:rPr>
          <w:rFonts w:hint="eastAsia" w:ascii="仿宋_GB2312" w:eastAsia="仿宋_GB2312"/>
          <w:color w:val="auto"/>
          <w:sz w:val="32"/>
          <w:szCs w:val="32"/>
          <w:highlight w:val="none"/>
          <w:lang w:val="en-US" w:eastAsia="zh-CN"/>
        </w:rPr>
        <w:t>12个处室，分别是：办公室、政策法规处(民族团结进步模范创建活动办公室)、监督检查处(清真食品管理处)、经济发展处、文教宣传处、宗教一处、宗教二处、宗教三处、朝觐办、人事处、机关党委、离退休干部工作处。</w:t>
      </w:r>
    </w:p>
    <w:p>
      <w:pPr>
        <w:keepNext w:val="0"/>
        <w:keepLines w:val="0"/>
        <w:pageBreakBefore w:val="0"/>
        <w:widowControl w:val="0"/>
        <w:kinsoku/>
        <w:wordWrap/>
        <w:overflowPunct/>
        <w:topLinePunct w:val="0"/>
        <w:bidi w:val="0"/>
        <w:adjustRightInd/>
        <w:snapToGrid/>
        <w:spacing w:line="240" w:lineRule="auto"/>
        <w:ind w:firstLine="640" w:firstLineChars="200"/>
        <w:jc w:val="both"/>
        <w:textAlignment w:val="auto"/>
        <w:rPr>
          <w:rFonts w:hint="eastAsia" w:ascii="仿宋_GB2312" w:hAnsi="宋体" w:eastAsia="仿宋_GB2312" w:cs="宋体"/>
          <w:color w:val="auto"/>
          <w:kern w:val="0"/>
          <w:sz w:val="32"/>
          <w:szCs w:val="32"/>
          <w:highlight w:val="none"/>
        </w:rPr>
        <w:sectPr>
          <w:footerReference r:id="rId3" w:type="default"/>
          <w:pgSz w:w="11906" w:h="16838"/>
          <w:pgMar w:top="1440" w:right="1800" w:bottom="1440" w:left="1800" w:header="851" w:footer="992" w:gutter="0"/>
          <w:cols w:space="720"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6" w:name="_Toc3092"/>
      <w:bookmarkStart w:id="7" w:name="_Toc29374"/>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二</w:t>
      </w:r>
      <w:r>
        <w:rPr>
          <w:rFonts w:hint="eastAsia" w:ascii="黑体" w:hAnsi="黑体" w:eastAsia="黑体"/>
          <w:color w:val="auto"/>
          <w:sz w:val="32"/>
          <w:szCs w:val="32"/>
          <w:highlight w:val="none"/>
        </w:rPr>
        <w:t>部分 部门决算情况说明</w:t>
      </w:r>
      <w:bookmarkEnd w:id="6"/>
      <w:bookmarkEnd w:id="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rPr>
      </w:pPr>
      <w:bookmarkStart w:id="8" w:name="_Toc12566"/>
      <w:bookmarkStart w:id="9" w:name="_Toc25314"/>
      <w:r>
        <w:rPr>
          <w:rFonts w:hint="eastAsia" w:ascii="黑体" w:hAnsi="黑体" w:eastAsia="黑体" w:cs="宋体"/>
          <w:bCs/>
          <w:color w:val="auto"/>
          <w:kern w:val="0"/>
          <w:sz w:val="32"/>
          <w:szCs w:val="32"/>
          <w:highlight w:val="none"/>
        </w:rPr>
        <w:t>一、收入支出决算总体情况说明</w:t>
      </w:r>
      <w:bookmarkEnd w:id="8"/>
      <w:bookmarkEnd w:id="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pacing w:val="0"/>
          <w:sz w:val="32"/>
          <w:szCs w:val="32"/>
          <w:highlight w:val="none"/>
          <w:lang w:val="en-US" w:eastAsia="zh-CN"/>
        </w:rPr>
        <w:t>收入总计</w:t>
      </w:r>
      <w:r>
        <w:rPr>
          <w:rFonts w:hint="eastAsia" w:ascii="仿宋_GB2312" w:eastAsia="仿宋_GB2312"/>
          <w:color w:val="auto"/>
          <w:spacing w:val="0"/>
          <w:sz w:val="32"/>
          <w:szCs w:val="32"/>
          <w:highlight w:val="none"/>
          <w:lang w:eastAsia="zh-CN"/>
        </w:rPr>
        <w:t>4,648.81万元，</w:t>
      </w:r>
      <w:r>
        <w:rPr>
          <w:rFonts w:hint="eastAsia" w:ascii="仿宋_GB2312" w:eastAsia="仿宋_GB2312"/>
          <w:color w:val="auto"/>
          <w:spacing w:val="0"/>
          <w:sz w:val="32"/>
          <w:szCs w:val="32"/>
          <w:highlight w:val="none"/>
          <w:lang w:val="en-US" w:eastAsia="zh-CN"/>
        </w:rPr>
        <w:t>其中：本年收入合计</w:t>
      </w:r>
      <w:r>
        <w:rPr>
          <w:rFonts w:hint="eastAsia" w:ascii="仿宋_GB2312" w:eastAsia="仿宋_GB2312"/>
          <w:color w:val="auto"/>
          <w:spacing w:val="0"/>
          <w:sz w:val="32"/>
          <w:szCs w:val="32"/>
          <w:highlight w:val="none"/>
          <w:lang w:eastAsia="zh-CN"/>
        </w:rPr>
        <w:t>4,343.81万元，使用非财政拨款结余0.00万元，年初结转和结余305.00万元。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val="en-US" w:eastAsia="zh-CN"/>
        </w:rPr>
        <w:t>2023</w:t>
      </w:r>
      <w:r>
        <w:rPr>
          <w:rFonts w:hint="eastAsia" w:ascii="仿宋_GB2312" w:eastAsia="仿宋_GB2312"/>
          <w:color w:val="auto"/>
          <w:spacing w:val="0"/>
          <w:sz w:val="32"/>
          <w:szCs w:val="32"/>
          <w:highlight w:val="none"/>
          <w:lang w:eastAsia="zh-CN"/>
        </w:rPr>
        <w:t>年</w:t>
      </w:r>
      <w:r>
        <w:rPr>
          <w:rFonts w:hint="eastAsia" w:ascii="仿宋_GB2312" w:eastAsia="仿宋_GB2312"/>
          <w:color w:val="auto"/>
          <w:spacing w:val="0"/>
          <w:sz w:val="32"/>
          <w:szCs w:val="32"/>
          <w:highlight w:val="none"/>
          <w:lang w:val="en-US" w:eastAsia="zh-CN"/>
        </w:rPr>
        <w:t>度</w:t>
      </w:r>
      <w:r>
        <w:rPr>
          <w:rFonts w:hint="eastAsia" w:ascii="仿宋_GB2312" w:eastAsia="仿宋_GB2312"/>
          <w:color w:val="auto"/>
          <w:spacing w:val="0"/>
          <w:sz w:val="32"/>
          <w:szCs w:val="32"/>
          <w:highlight w:val="none"/>
          <w:lang w:eastAsia="zh-CN"/>
        </w:rPr>
        <w:t>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eastAsia="zh-CN"/>
        </w:rPr>
        <w:t>4,648.81万元，</w:t>
      </w:r>
      <w:r>
        <w:rPr>
          <w:rFonts w:hint="eastAsia" w:ascii="仿宋_GB2312" w:eastAsia="仿宋_GB2312"/>
          <w:color w:val="auto"/>
          <w:spacing w:val="0"/>
          <w:sz w:val="32"/>
          <w:szCs w:val="32"/>
          <w:highlight w:val="none"/>
          <w:lang w:val="en-US" w:eastAsia="zh-CN"/>
        </w:rPr>
        <w:t>其中：本年支出合计</w:t>
      </w:r>
      <w:r>
        <w:rPr>
          <w:rFonts w:hint="eastAsia" w:ascii="仿宋_GB2312" w:eastAsia="仿宋_GB2312"/>
          <w:color w:val="auto"/>
          <w:spacing w:val="0"/>
          <w:sz w:val="32"/>
          <w:szCs w:val="32"/>
          <w:highlight w:val="none"/>
          <w:lang w:eastAsia="zh-CN"/>
        </w:rPr>
        <w:t>4,536.17万元，</w:t>
      </w:r>
      <w:r>
        <w:rPr>
          <w:rFonts w:hint="eastAsia" w:ascii="仿宋_GB2312" w:eastAsia="仿宋_GB2312"/>
          <w:color w:val="auto"/>
          <w:spacing w:val="0"/>
          <w:sz w:val="32"/>
          <w:szCs w:val="32"/>
          <w:highlight w:val="none"/>
          <w:lang w:val="en-US" w:eastAsia="zh-CN"/>
        </w:rPr>
        <w:t>结余分配</w:t>
      </w:r>
      <w:r>
        <w:rPr>
          <w:rFonts w:hint="eastAsia" w:ascii="仿宋_GB2312" w:eastAsia="仿宋_GB2312"/>
          <w:color w:val="auto"/>
          <w:spacing w:val="0"/>
          <w:sz w:val="32"/>
          <w:szCs w:val="32"/>
          <w:highlight w:val="none"/>
          <w:lang w:eastAsia="zh-CN"/>
        </w:rPr>
        <w:t>0.00万元，年末结转和结余112.64万元。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val="en-US" w:eastAsia="zh-CN"/>
        </w:rPr>
        <w:t>收入支出总体与上年相比</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zh-CN" w:eastAsia="zh-CN"/>
        </w:rPr>
        <w:t>减少806.92万元</w:t>
      </w:r>
      <w:r>
        <w:rPr>
          <w:rFonts w:hint="eastAsia" w:ascii="仿宋_GB2312" w:eastAsia="仿宋_GB2312"/>
          <w:color w:val="auto"/>
          <w:spacing w:val="0"/>
          <w:sz w:val="32"/>
          <w:szCs w:val="32"/>
          <w:highlight w:val="none"/>
          <w:lang w:eastAsia="zh-CN"/>
        </w:rPr>
        <w:t>，下降14.79%，主要原因是：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单独编报部门决算，2022年部门决算中包含本级及下属6家单位部门决算数据。较2022年，全年收入减少85.85万元；同时，非财政结转结余收入减少721.07万元。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rPr>
      </w:pPr>
      <w:bookmarkStart w:id="10" w:name="_Toc12142"/>
      <w:bookmarkStart w:id="11" w:name="_Toc1979"/>
      <w:r>
        <w:rPr>
          <w:rFonts w:hint="eastAsia" w:ascii="黑体" w:hAnsi="黑体" w:eastAsia="黑体" w:cs="宋体"/>
          <w:bCs/>
          <w:color w:val="auto"/>
          <w:kern w:val="0"/>
          <w:sz w:val="32"/>
          <w:szCs w:val="32"/>
          <w:highlight w:val="none"/>
          <w:lang w:eastAsia="zh-CN"/>
        </w:rPr>
        <w:t>二、</w:t>
      </w:r>
      <w:r>
        <w:rPr>
          <w:rFonts w:hint="eastAsia" w:ascii="黑体" w:hAnsi="黑体" w:eastAsia="黑体" w:cs="宋体"/>
          <w:bCs/>
          <w:color w:val="auto"/>
          <w:kern w:val="0"/>
          <w:sz w:val="32"/>
          <w:szCs w:val="32"/>
          <w:highlight w:val="none"/>
        </w:rPr>
        <w:t>收入</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情况说明</w:t>
      </w:r>
      <w:bookmarkEnd w:id="10"/>
      <w:bookmarkEnd w:id="1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本年收入</w:t>
      </w:r>
      <w:r>
        <w:rPr>
          <w:rFonts w:hint="eastAsia" w:ascii="仿宋_GB2312" w:eastAsia="仿宋_GB2312"/>
          <w:color w:val="auto"/>
          <w:sz w:val="32"/>
          <w:szCs w:val="32"/>
          <w:highlight w:val="none"/>
          <w:lang w:eastAsia="zh-CN"/>
        </w:rPr>
        <w:t>4,343.81</w:t>
      </w:r>
      <w:r>
        <w:rPr>
          <w:rFonts w:hint="eastAsia" w:ascii="仿宋_GB2312" w:eastAsia="仿宋_GB2312"/>
          <w:color w:val="auto"/>
          <w:sz w:val="32"/>
          <w:szCs w:val="32"/>
          <w:highlight w:val="none"/>
        </w:rPr>
        <w:t>万元，其中：财政拨款收入</w:t>
      </w:r>
      <w:r>
        <w:rPr>
          <w:rFonts w:hint="eastAsia" w:ascii="仿宋_GB2312" w:eastAsia="仿宋_GB2312"/>
          <w:color w:val="auto"/>
          <w:sz w:val="32"/>
          <w:szCs w:val="32"/>
          <w:highlight w:val="none"/>
          <w:lang w:val="zh-CN"/>
        </w:rPr>
        <w:t>4,244.04</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97.70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；上级补助收入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；事业收入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；经营收入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r>
        <w:rPr>
          <w:rFonts w:hint="eastAsia" w:ascii="仿宋_GB2312" w:eastAsia="仿宋_GB2312"/>
          <w:color w:val="auto"/>
          <w:sz w:val="32"/>
          <w:szCs w:val="32"/>
          <w:highlight w:val="none"/>
          <w:lang w:eastAsia="zh-CN"/>
        </w:rPr>
        <w:t>附属单位上缴收入</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0.00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；其他收入</w:t>
      </w:r>
      <w:r>
        <w:rPr>
          <w:rFonts w:hint="eastAsia" w:ascii="仿宋_GB2312" w:eastAsia="仿宋_GB2312"/>
          <w:color w:val="auto"/>
          <w:sz w:val="32"/>
          <w:szCs w:val="32"/>
          <w:highlight w:val="none"/>
          <w:lang w:val="zh-CN"/>
        </w:rPr>
        <w:t>99.78</w:t>
      </w:r>
      <w:r>
        <w:rPr>
          <w:rFonts w:hint="eastAsia" w:ascii="仿宋_GB2312" w:eastAsia="仿宋_GB2312"/>
          <w:color w:val="auto"/>
          <w:sz w:val="32"/>
          <w:szCs w:val="32"/>
          <w:highlight w:val="none"/>
        </w:rPr>
        <w:t>万元，占</w:t>
      </w:r>
      <w:r>
        <w:rPr>
          <w:rFonts w:hint="eastAsia" w:ascii="仿宋_GB2312" w:eastAsia="仿宋_GB2312"/>
          <w:color w:val="auto"/>
          <w:sz w:val="32"/>
          <w:szCs w:val="32"/>
          <w:highlight w:val="none"/>
          <w:lang w:val="zh-CN"/>
        </w:rPr>
        <w:t>2.30</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2" w:name="_Toc27961"/>
      <w:bookmarkStart w:id="13" w:name="_Toc13201"/>
      <w:r>
        <w:rPr>
          <w:rFonts w:hint="eastAsia" w:ascii="黑体" w:hAnsi="黑体" w:eastAsia="黑体" w:cs="宋体"/>
          <w:bCs/>
          <w:color w:val="auto"/>
          <w:kern w:val="0"/>
          <w:sz w:val="32"/>
          <w:szCs w:val="32"/>
          <w:highlight w:val="none"/>
          <w:lang w:eastAsia="zh-CN"/>
        </w:rPr>
        <w:t>三、支出决算情况说明</w:t>
      </w:r>
      <w:bookmarkEnd w:id="12"/>
      <w:bookmarkEnd w:id="1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仿宋_GB2312"/>
          <w:color w:val="auto"/>
          <w:sz w:val="30"/>
          <w:szCs w:val="30"/>
          <w:highlight w:val="none"/>
          <w:lang w:val="zh-CN" w:eastAsia="zh-CN"/>
        </w:rPr>
      </w:pPr>
      <w:r>
        <w:rPr>
          <w:rFonts w:hint="eastAsia" w:ascii="Times New Roman" w:hAnsi="Times New Roman" w:eastAsia="仿宋_GB2312" w:cs="仿宋_GB2312"/>
          <w:color w:val="auto"/>
          <w:sz w:val="32"/>
          <w:szCs w:val="32"/>
          <w:highlight w:val="none"/>
          <w:lang w:val="zh-CN" w:eastAsia="zh-CN"/>
        </w:rPr>
        <w:t>本年支出4,536.17万元，其中：基本支出2,830.16万元，占62.39%；项目支出1,706.01万元，占37.61%；上缴上级支出0.00万元，占0.00%；经营支出0.00万元，占0.00%；对附属单位补助支出0.00万元，占0.00%。</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4" w:name="_Toc26564"/>
      <w:bookmarkStart w:id="15" w:name="_Toc4393"/>
      <w:r>
        <w:rPr>
          <w:rFonts w:hint="eastAsia" w:ascii="黑体" w:hAnsi="黑体" w:eastAsia="黑体" w:cs="宋体"/>
          <w:bCs/>
          <w:color w:val="auto"/>
          <w:kern w:val="0"/>
          <w:sz w:val="32"/>
          <w:szCs w:val="32"/>
          <w:highlight w:val="none"/>
          <w:lang w:eastAsia="zh-CN"/>
        </w:rPr>
        <w:t>四、财政拨款收入支出决算总体情况说明</w:t>
      </w:r>
      <w:bookmarkEnd w:id="14"/>
      <w:bookmarkEnd w:id="1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pacing w:val="0"/>
          <w:sz w:val="32"/>
          <w:szCs w:val="32"/>
          <w:highlight w:val="none"/>
          <w:lang w:eastAsia="zh-CN"/>
        </w:rPr>
      </w:pPr>
      <w:r>
        <w:rPr>
          <w:rFonts w:hint="eastAsia" w:ascii="仿宋_GB2312" w:eastAsia="仿宋_GB2312"/>
          <w:color w:val="auto"/>
          <w:spacing w:val="0"/>
          <w:sz w:val="32"/>
          <w:szCs w:val="32"/>
          <w:highlight w:val="none"/>
          <w:lang w:eastAsia="zh-CN"/>
        </w:rPr>
        <w:t>2023年度财政拨款收入</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4,244.04</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其中：年初财政拨款结转和结余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本年财政拨款收入</w:t>
      </w:r>
      <w:r>
        <w:rPr>
          <w:rFonts w:hint="eastAsia" w:ascii="仿宋_GB2312" w:eastAsia="仿宋_GB2312"/>
          <w:color w:val="auto"/>
          <w:spacing w:val="0"/>
          <w:sz w:val="32"/>
          <w:szCs w:val="32"/>
          <w:highlight w:val="none"/>
          <w:lang w:val="zh-CN" w:eastAsia="zh-CN"/>
        </w:rPr>
        <w:t>4,244.04</w:t>
      </w:r>
      <w:r>
        <w:rPr>
          <w:rFonts w:hint="eastAsia" w:ascii="仿宋_GB2312" w:eastAsia="仿宋_GB2312"/>
          <w:color w:val="auto"/>
          <w:spacing w:val="0"/>
          <w:sz w:val="32"/>
          <w:szCs w:val="32"/>
          <w:highlight w:val="none"/>
          <w:lang w:eastAsia="zh-CN"/>
        </w:rPr>
        <w:t>万元。财政拨款支出</w:t>
      </w:r>
      <w:r>
        <w:rPr>
          <w:rFonts w:hint="eastAsia" w:ascii="仿宋_GB2312" w:eastAsia="仿宋_GB2312"/>
          <w:color w:val="auto"/>
          <w:spacing w:val="0"/>
          <w:sz w:val="32"/>
          <w:szCs w:val="32"/>
          <w:highlight w:val="none"/>
          <w:lang w:val="en-US" w:eastAsia="zh-CN"/>
        </w:rPr>
        <w:t>总计</w:t>
      </w:r>
      <w:r>
        <w:rPr>
          <w:rFonts w:hint="eastAsia" w:ascii="仿宋_GB2312" w:eastAsia="仿宋_GB2312"/>
          <w:color w:val="auto"/>
          <w:spacing w:val="0"/>
          <w:sz w:val="32"/>
          <w:szCs w:val="32"/>
          <w:highlight w:val="none"/>
          <w:lang w:val="zh-CN" w:eastAsia="zh-CN"/>
        </w:rPr>
        <w:t>4,244.04</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其中：年末财政拨款结转和结余</w:t>
      </w:r>
      <w:r>
        <w:rPr>
          <w:rFonts w:hint="eastAsia" w:ascii="仿宋_GB2312" w:eastAsia="仿宋_GB2312"/>
          <w:color w:val="auto"/>
          <w:spacing w:val="0"/>
          <w:sz w:val="32"/>
          <w:szCs w:val="32"/>
          <w:highlight w:val="none"/>
          <w:lang w:val="zh-CN" w:eastAsia="zh-CN"/>
        </w:rPr>
        <w:t>0.00</w:t>
      </w:r>
      <w:r>
        <w:rPr>
          <w:rFonts w:hint="eastAsia" w:ascii="仿宋_GB2312" w:eastAsia="仿宋_GB2312"/>
          <w:color w:val="auto"/>
          <w:spacing w:val="0"/>
          <w:sz w:val="32"/>
          <w:szCs w:val="32"/>
          <w:highlight w:val="none"/>
          <w:lang w:eastAsia="zh-CN"/>
        </w:rPr>
        <w:t>万元，</w:t>
      </w:r>
      <w:r>
        <w:rPr>
          <w:rFonts w:hint="eastAsia" w:ascii="仿宋_GB2312" w:eastAsia="仿宋_GB2312"/>
          <w:color w:val="auto"/>
          <w:spacing w:val="0"/>
          <w:sz w:val="32"/>
          <w:szCs w:val="32"/>
          <w:highlight w:val="none"/>
          <w:lang w:val="en-US" w:eastAsia="zh-CN"/>
        </w:rPr>
        <w:t>本年财政拨款支出</w:t>
      </w:r>
      <w:r>
        <w:rPr>
          <w:rFonts w:hint="eastAsia" w:ascii="仿宋_GB2312" w:eastAsia="仿宋_GB2312"/>
          <w:color w:val="auto"/>
          <w:spacing w:val="0"/>
          <w:sz w:val="32"/>
          <w:szCs w:val="32"/>
          <w:highlight w:val="none"/>
          <w:lang w:val="zh-CN" w:eastAsia="zh-CN"/>
        </w:rPr>
        <w:t>4,244.04</w:t>
      </w:r>
      <w:r>
        <w:rPr>
          <w:rFonts w:hint="eastAsia" w:ascii="仿宋_GB2312" w:eastAsia="仿宋_GB2312"/>
          <w:color w:val="auto"/>
          <w:spacing w:val="0"/>
          <w:sz w:val="32"/>
          <w:szCs w:val="32"/>
          <w:highlight w:val="none"/>
          <w:lang w:eastAsia="zh-CN"/>
        </w:rPr>
        <w:t>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Times New Roman" w:eastAsia="仿宋_GB2312" w:cs="Times New Roman"/>
          <w:color w:val="auto"/>
          <w:spacing w:val="0"/>
          <w:kern w:val="2"/>
          <w:sz w:val="32"/>
          <w:szCs w:val="32"/>
          <w:highlight w:val="none"/>
          <w:lang w:val="en-US" w:eastAsia="zh-CN" w:bidi="ar-SA"/>
        </w:rPr>
      </w:pPr>
      <w:r>
        <w:rPr>
          <w:rFonts w:hint="eastAsia" w:ascii="仿宋_GB2312" w:hAnsi="Times New Roman" w:eastAsia="仿宋_GB2312" w:cs="Times New Roman"/>
          <w:color w:val="auto"/>
          <w:spacing w:val="0"/>
          <w:kern w:val="2"/>
          <w:sz w:val="32"/>
          <w:szCs w:val="32"/>
          <w:highlight w:val="none"/>
          <w:lang w:val="en-US" w:eastAsia="zh-CN" w:bidi="ar-SA"/>
        </w:rPr>
        <w:t>财政拨款收入支出总体与上年相比,</w:t>
      </w:r>
      <w:r>
        <w:rPr>
          <w:rFonts w:hint="eastAsia" w:ascii="仿宋_GB2312" w:hAnsi="Times New Roman" w:eastAsia="仿宋_GB2312" w:cs="Times New Roman"/>
          <w:color w:val="auto"/>
          <w:spacing w:val="0"/>
          <w:kern w:val="2"/>
          <w:sz w:val="32"/>
          <w:szCs w:val="32"/>
          <w:highlight w:val="none"/>
          <w:lang w:val="zh-CN" w:eastAsia="zh-CN" w:bidi="ar-SA"/>
        </w:rPr>
        <w:t>减少94.54万元</w:t>
      </w:r>
      <w:r>
        <w:rPr>
          <w:rFonts w:hint="eastAsia" w:ascii="仿宋_GB2312" w:hAnsi="Times New Roman" w:eastAsia="仿宋_GB2312" w:cs="Times New Roman"/>
          <w:color w:val="auto"/>
          <w:spacing w:val="0"/>
          <w:kern w:val="2"/>
          <w:sz w:val="32"/>
          <w:szCs w:val="32"/>
          <w:highlight w:val="none"/>
          <w:lang w:val="en-US" w:eastAsia="zh-CN" w:bidi="ar-SA"/>
        </w:rPr>
        <w:t>，下降2.18%,主要原因是：2023年新疆维吾尔自治区民族事务委员会（宗教事务局）本级单独编报部门决算，2022年部门决算中包含本级及下属6家单位部门决算数据。与年初预算相比，年初预算数</w:t>
      </w:r>
      <w:r>
        <w:rPr>
          <w:rFonts w:hint="eastAsia" w:ascii="仿宋_GB2312" w:hAnsi="Times New Roman" w:eastAsia="仿宋_GB2312" w:cs="Times New Roman"/>
          <w:color w:val="auto"/>
          <w:spacing w:val="0"/>
          <w:kern w:val="2"/>
          <w:sz w:val="32"/>
          <w:szCs w:val="32"/>
          <w:highlight w:val="none"/>
          <w:lang w:val="zh-CN" w:eastAsia="zh-CN" w:bidi="ar-SA"/>
        </w:rPr>
        <w:t>2,834.51</w:t>
      </w:r>
      <w:r>
        <w:rPr>
          <w:rFonts w:hint="eastAsia" w:ascii="仿宋_GB2312" w:hAnsi="Times New Roman" w:eastAsia="仿宋_GB2312" w:cs="Times New Roman"/>
          <w:color w:val="auto"/>
          <w:spacing w:val="0"/>
          <w:kern w:val="2"/>
          <w:sz w:val="32"/>
          <w:szCs w:val="32"/>
          <w:highlight w:val="none"/>
          <w:lang w:val="en-US" w:eastAsia="zh-CN" w:bidi="ar-SA"/>
        </w:rPr>
        <w:t>万元，决算数</w:t>
      </w:r>
      <w:r>
        <w:rPr>
          <w:rFonts w:hint="eastAsia" w:ascii="仿宋_GB2312" w:hAnsi="Times New Roman" w:eastAsia="仿宋_GB2312" w:cs="Times New Roman"/>
          <w:color w:val="auto"/>
          <w:spacing w:val="0"/>
          <w:kern w:val="2"/>
          <w:sz w:val="32"/>
          <w:szCs w:val="32"/>
          <w:highlight w:val="none"/>
          <w:lang w:val="zh-CN" w:eastAsia="zh-CN" w:bidi="ar-SA"/>
        </w:rPr>
        <w:t>4,244.04</w:t>
      </w:r>
      <w:r>
        <w:rPr>
          <w:rFonts w:hint="eastAsia" w:ascii="仿宋_GB2312" w:hAnsi="Times New Roman" w:eastAsia="仿宋_GB2312" w:cs="Times New Roman"/>
          <w:color w:val="auto"/>
          <w:spacing w:val="0"/>
          <w:kern w:val="2"/>
          <w:sz w:val="32"/>
          <w:szCs w:val="32"/>
          <w:highlight w:val="none"/>
          <w:lang w:val="en-US" w:eastAsia="zh-CN" w:bidi="ar-SA"/>
        </w:rPr>
        <w:t>万元，预决算差异率49.73%，主要原因是：一是人员变动，人员工资调整、工资福利支出、日常公用经费支出及对个人和家庭的补助支出增加555.64万元。二是根据工作需要，追加自治区第十届少数民族传统体育运动会项目经费、中华民族共同体体验馆经费等项目经费548.87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6" w:name="_Toc20360"/>
      <w:bookmarkStart w:id="17" w:name="_Toc13833"/>
      <w:r>
        <w:rPr>
          <w:rFonts w:hint="eastAsia" w:ascii="黑体" w:hAnsi="黑体" w:eastAsia="黑体" w:cs="宋体"/>
          <w:bCs/>
          <w:color w:val="auto"/>
          <w:kern w:val="0"/>
          <w:sz w:val="32"/>
          <w:szCs w:val="32"/>
          <w:highlight w:val="none"/>
          <w:lang w:eastAsia="zh-CN"/>
        </w:rPr>
        <w:t>五、一般公共预算财政拨款支出决算情况说明</w:t>
      </w:r>
      <w:bookmarkEnd w:id="16"/>
      <w:bookmarkEnd w:id="1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（一）一般公共预算财政拨款支出决算总体情况</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default" w:ascii="仿宋_GB2312" w:eastAsia="仿宋_GB2312"/>
          <w:color w:val="auto"/>
          <w:spacing w:val="0"/>
          <w:sz w:val="32"/>
          <w:szCs w:val="32"/>
          <w:highlight w:val="none"/>
          <w:lang w:val="en-US" w:eastAsia="zh-CN"/>
        </w:rPr>
      </w:pPr>
      <w:r>
        <w:rPr>
          <w:rFonts w:hint="eastAsia" w:ascii="仿宋_GB2312" w:eastAsia="仿宋_GB2312"/>
          <w:color w:val="auto"/>
          <w:spacing w:val="0"/>
          <w:sz w:val="32"/>
          <w:szCs w:val="32"/>
          <w:highlight w:val="none"/>
          <w:lang w:eastAsia="zh-CN"/>
        </w:rPr>
        <w:t>2023年度一般公共预算财政拨款支出4,244.04万元，占本年支出合计的</w:t>
      </w:r>
      <w:r>
        <w:rPr>
          <w:rFonts w:hint="eastAsia" w:ascii="仿宋_GB2312" w:eastAsia="仿宋_GB2312"/>
          <w:color w:val="auto"/>
          <w:spacing w:val="0"/>
          <w:sz w:val="32"/>
          <w:szCs w:val="32"/>
          <w:highlight w:val="none"/>
          <w:lang w:val="zh-CN" w:eastAsia="zh-CN"/>
        </w:rPr>
        <w:t>93.56%</w:t>
      </w:r>
      <w:r>
        <w:rPr>
          <w:rFonts w:hint="eastAsia" w:ascii="仿宋_GB2312" w:eastAsia="仿宋_GB2312"/>
          <w:color w:val="auto"/>
          <w:spacing w:val="0"/>
          <w:sz w:val="32"/>
          <w:szCs w:val="32"/>
          <w:highlight w:val="none"/>
          <w:lang w:eastAsia="zh-CN"/>
        </w:rPr>
        <w:t>。与上年相比，</w:t>
      </w:r>
      <w:r>
        <w:rPr>
          <w:rFonts w:hint="eastAsia" w:ascii="仿宋_GB2312" w:eastAsia="仿宋_GB2312"/>
          <w:color w:val="auto"/>
          <w:spacing w:val="0"/>
          <w:sz w:val="32"/>
          <w:szCs w:val="32"/>
          <w:highlight w:val="none"/>
          <w:lang w:val="zh-CN" w:eastAsia="zh-CN"/>
        </w:rPr>
        <w:t>减少94.54万元</w:t>
      </w:r>
      <w:r>
        <w:rPr>
          <w:rFonts w:hint="eastAsia" w:ascii="仿宋_GB2312" w:eastAsia="仿宋_GB2312"/>
          <w:color w:val="auto"/>
          <w:spacing w:val="0"/>
          <w:sz w:val="32"/>
          <w:szCs w:val="32"/>
          <w:highlight w:val="none"/>
          <w:lang w:eastAsia="zh-CN"/>
        </w:rPr>
        <w:t>，</w:t>
      </w:r>
      <w:r>
        <w:rPr>
          <w:rFonts w:hint="eastAsia" w:ascii="仿宋_GB2312" w:eastAsia="仿宋_GB2312"/>
          <w:color w:val="auto"/>
          <w:spacing w:val="0"/>
          <w:sz w:val="32"/>
          <w:szCs w:val="32"/>
          <w:highlight w:val="none"/>
          <w:lang w:val="en-US" w:eastAsia="zh-CN"/>
        </w:rPr>
        <w:t>下降2.18%,</w:t>
      </w:r>
      <w:r>
        <w:rPr>
          <w:rFonts w:hint="eastAsia" w:ascii="仿宋_GB2312" w:eastAsia="仿宋_GB2312"/>
          <w:color w:val="auto"/>
          <w:spacing w:val="0"/>
          <w:sz w:val="32"/>
          <w:szCs w:val="32"/>
          <w:highlight w:val="none"/>
          <w:lang w:eastAsia="zh-CN"/>
        </w:rPr>
        <w:t>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单独编报部门决算，2022年部门决算中包含本级及下属6家单位部门决算数据</w:t>
      </w:r>
      <w:r>
        <w:rPr>
          <w:rFonts w:hint="eastAsia" w:ascii="仿宋_GB2312" w:eastAsia="仿宋_GB2312"/>
          <w:color w:val="auto"/>
          <w:spacing w:val="0"/>
          <w:sz w:val="32"/>
          <w:szCs w:val="32"/>
          <w:highlight w:val="none"/>
          <w:lang w:eastAsia="zh-CN"/>
        </w:rPr>
        <w:t>。与年初预算相比，年初预算数</w:t>
      </w:r>
      <w:r>
        <w:rPr>
          <w:rFonts w:hint="eastAsia" w:ascii="仿宋_GB2312" w:eastAsia="仿宋_GB2312"/>
          <w:color w:val="auto"/>
          <w:spacing w:val="0"/>
          <w:sz w:val="32"/>
          <w:szCs w:val="32"/>
          <w:highlight w:val="none"/>
          <w:lang w:val="zh-CN" w:eastAsia="zh-CN"/>
        </w:rPr>
        <w:t>2,834.51</w:t>
      </w:r>
      <w:r>
        <w:rPr>
          <w:rFonts w:hint="eastAsia" w:ascii="仿宋_GB2312" w:eastAsia="仿宋_GB2312"/>
          <w:color w:val="auto"/>
          <w:spacing w:val="0"/>
          <w:sz w:val="32"/>
          <w:szCs w:val="32"/>
          <w:highlight w:val="none"/>
          <w:lang w:eastAsia="zh-CN"/>
        </w:rPr>
        <w:t>万元，决算数</w:t>
      </w:r>
      <w:r>
        <w:rPr>
          <w:rFonts w:hint="eastAsia" w:ascii="仿宋_GB2312" w:eastAsia="仿宋_GB2312"/>
          <w:color w:val="auto"/>
          <w:spacing w:val="0"/>
          <w:sz w:val="32"/>
          <w:szCs w:val="32"/>
          <w:highlight w:val="none"/>
          <w:lang w:val="zh-CN" w:eastAsia="zh-CN"/>
        </w:rPr>
        <w:t>4,244.04</w:t>
      </w:r>
      <w:r>
        <w:rPr>
          <w:rFonts w:hint="eastAsia" w:ascii="仿宋_GB2312" w:eastAsia="仿宋_GB2312"/>
          <w:color w:val="auto"/>
          <w:spacing w:val="0"/>
          <w:sz w:val="32"/>
          <w:szCs w:val="32"/>
          <w:highlight w:val="none"/>
          <w:lang w:eastAsia="zh-CN"/>
        </w:rPr>
        <w:t>万元，预决算差异率</w:t>
      </w:r>
      <w:r>
        <w:rPr>
          <w:rFonts w:hint="eastAsia" w:ascii="仿宋_GB2312" w:eastAsia="仿宋_GB2312"/>
          <w:color w:val="auto"/>
          <w:spacing w:val="0"/>
          <w:sz w:val="32"/>
          <w:szCs w:val="32"/>
          <w:highlight w:val="none"/>
          <w:lang w:val="zh-CN" w:eastAsia="zh-CN"/>
        </w:rPr>
        <w:t>49.73%</w:t>
      </w:r>
      <w:r>
        <w:rPr>
          <w:rFonts w:hint="eastAsia" w:ascii="仿宋_GB2312" w:eastAsia="仿宋_GB2312"/>
          <w:color w:val="auto"/>
          <w:spacing w:val="0"/>
          <w:sz w:val="32"/>
          <w:szCs w:val="32"/>
          <w:highlight w:val="none"/>
          <w:lang w:eastAsia="zh-CN"/>
        </w:rPr>
        <w:t>，主要原因是：</w:t>
      </w:r>
      <w:r>
        <w:rPr>
          <w:rFonts w:hint="eastAsia" w:ascii="仿宋_GB2312" w:hAnsi="Times New Roman" w:eastAsia="仿宋_GB2312" w:cs="Times New Roman"/>
          <w:color w:val="auto"/>
          <w:spacing w:val="0"/>
          <w:kern w:val="2"/>
          <w:sz w:val="32"/>
          <w:szCs w:val="32"/>
          <w:highlight w:val="none"/>
          <w:lang w:val="en-US" w:eastAsia="zh-CN" w:bidi="ar-SA"/>
        </w:rPr>
        <w:t>一是人员变动，人员工资调整、工资福利支出、日常公用经费支出及对个人和家庭的补助支出增加555.64万元。二是根据工作需要，追加自治区第十届少数民族传统体育运动会项目经费、中华民族共同体体验馆经费等项目经费548.87万元</w:t>
      </w:r>
      <w:r>
        <w:rPr>
          <w:rFonts w:hint="eastAsia" w:ascii="仿宋_GB2312" w:eastAsia="仿宋_GB2312"/>
          <w:color w:val="auto"/>
          <w:spacing w:val="0"/>
          <w:sz w:val="32"/>
          <w:szCs w:val="32"/>
          <w:highlight w:val="none"/>
          <w:lang w:eastAsia="zh-CN"/>
        </w:rPr>
        <w:t>。</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一般公共预算</w:t>
      </w:r>
      <w:r>
        <w:rPr>
          <w:rFonts w:hint="eastAsia" w:ascii="黑体" w:hAnsi="黑体" w:eastAsia="黑体"/>
          <w:color w:val="auto"/>
          <w:sz w:val="32"/>
          <w:szCs w:val="32"/>
          <w:highlight w:val="none"/>
          <w:lang w:val="en-US" w:eastAsia="zh-CN"/>
        </w:rPr>
        <w:t>财政拨款支出决算</w:t>
      </w:r>
      <w:r>
        <w:rPr>
          <w:rFonts w:hint="eastAsia" w:ascii="黑体" w:hAnsi="黑体" w:eastAsia="黑体"/>
          <w:color w:val="auto"/>
          <w:sz w:val="32"/>
          <w:szCs w:val="32"/>
          <w:highlight w:val="none"/>
          <w:lang w:eastAsia="zh-CN"/>
        </w:rPr>
        <w:t>结构情况</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default" w:ascii="仿宋_GB2312" w:hAnsi="Times New Roman" w:eastAsia="仿宋_GB2312" w:cs="Times New Roman"/>
          <w:color w:val="auto"/>
          <w:spacing w:val="0"/>
          <w:kern w:val="2"/>
          <w:sz w:val="32"/>
          <w:szCs w:val="32"/>
          <w:lang w:val="zh-CN" w:eastAsia="zh-CN" w:bidi="ar-SA"/>
        </w:rPr>
        <w:t>1.</w:t>
      </w:r>
      <w:r>
        <w:rPr>
          <w:rFonts w:hint="default" w:ascii="仿宋_GB2312" w:hAnsi="Times New Roman" w:eastAsia="仿宋_GB2312" w:cs="Times New Roman"/>
          <w:color w:val="auto"/>
          <w:spacing w:val="0"/>
          <w:kern w:val="2"/>
          <w:sz w:val="32"/>
          <w:szCs w:val="32"/>
          <w:highlight w:val="none"/>
          <w:lang w:val="zh-CN" w:eastAsia="zh-CN" w:bidi="ar-SA"/>
        </w:rPr>
        <w:t>一般公共服务支出（类）</w:t>
      </w:r>
      <w:r>
        <w:rPr>
          <w:rFonts w:hint="eastAsia" w:ascii="仿宋_GB2312" w:hAnsi="Times New Roman" w:eastAsia="仿宋_GB2312" w:cs="Times New Roman"/>
          <w:color w:val="auto"/>
          <w:spacing w:val="0"/>
          <w:kern w:val="2"/>
          <w:sz w:val="32"/>
          <w:szCs w:val="32"/>
          <w:highlight w:val="none"/>
          <w:lang w:val="zh-CN" w:eastAsia="zh-CN" w:bidi="ar-SA"/>
        </w:rPr>
        <w:t>3,410.34</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80.36</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default" w:ascii="仿宋_GB2312" w:hAnsi="Times New Roman" w:eastAsia="仿宋_GB2312" w:cs="Times New Roman"/>
          <w:color w:val="auto"/>
          <w:spacing w:val="0"/>
          <w:kern w:val="2"/>
          <w:sz w:val="32"/>
          <w:szCs w:val="32"/>
          <w:lang w:val="en-US" w:eastAsia="zh-CN" w:bidi="ar-SA"/>
        </w:rPr>
        <w:t>2.</w:t>
      </w:r>
      <w:r>
        <w:rPr>
          <w:rFonts w:hint="default" w:ascii="仿宋_GB2312" w:hAnsi="Times New Roman" w:eastAsia="仿宋_GB2312" w:cs="Times New Roman"/>
          <w:color w:val="auto"/>
          <w:spacing w:val="0"/>
          <w:kern w:val="2"/>
          <w:sz w:val="32"/>
          <w:szCs w:val="32"/>
          <w:highlight w:val="none"/>
          <w:lang w:val="zh-CN" w:eastAsia="zh-CN" w:bidi="ar-SA"/>
        </w:rPr>
        <w:t>社会保障和就业支出（类）</w:t>
      </w:r>
      <w:r>
        <w:rPr>
          <w:rFonts w:hint="eastAsia" w:ascii="仿宋_GB2312" w:hAnsi="Times New Roman" w:eastAsia="仿宋_GB2312" w:cs="Times New Roman"/>
          <w:color w:val="auto"/>
          <w:spacing w:val="0"/>
          <w:kern w:val="2"/>
          <w:sz w:val="32"/>
          <w:szCs w:val="32"/>
          <w:highlight w:val="none"/>
          <w:lang w:val="zh-CN" w:eastAsia="zh-CN" w:bidi="ar-SA"/>
        </w:rPr>
        <w:t>504.78</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11.89</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3</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卫生健康支出（类）</w:t>
      </w:r>
      <w:r>
        <w:rPr>
          <w:rFonts w:hint="eastAsia" w:ascii="仿宋_GB2312" w:hAnsi="Times New Roman" w:eastAsia="仿宋_GB2312" w:cs="Times New Roman"/>
          <w:color w:val="auto"/>
          <w:spacing w:val="0"/>
          <w:kern w:val="2"/>
          <w:sz w:val="32"/>
          <w:szCs w:val="32"/>
          <w:highlight w:val="none"/>
          <w:lang w:val="zh-CN" w:eastAsia="zh-CN" w:bidi="ar-SA"/>
        </w:rPr>
        <w:t>169.46</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3.99</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4</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节能环保支出（类）</w:t>
      </w:r>
      <w:r>
        <w:rPr>
          <w:rFonts w:hint="eastAsia" w:ascii="仿宋_GB2312" w:hAnsi="Times New Roman" w:eastAsia="仿宋_GB2312" w:cs="Times New Roman"/>
          <w:color w:val="auto"/>
          <w:spacing w:val="0"/>
          <w:kern w:val="2"/>
          <w:sz w:val="32"/>
          <w:szCs w:val="32"/>
          <w:highlight w:val="none"/>
          <w:lang w:val="zh-CN" w:eastAsia="zh-CN" w:bidi="ar-SA"/>
        </w:rPr>
        <w:t>19.22</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0.45</w:t>
      </w:r>
      <w:r>
        <w:rPr>
          <w:rFonts w:hint="default" w:ascii="仿宋_GB2312" w:hAnsi="Times New Roman" w:eastAsia="仿宋_GB2312" w:cs="Times New Roman"/>
          <w:color w:val="auto"/>
          <w:spacing w:val="0"/>
          <w:kern w:val="2"/>
          <w:sz w:val="32"/>
          <w:szCs w:val="32"/>
          <w:highlight w:val="none"/>
          <w:lang w:val="zh-CN" w:eastAsia="zh-CN" w:bidi="ar-SA"/>
        </w:rPr>
        <w:t>%；</w:t>
      </w:r>
    </w:p>
    <w:p>
      <w:pPr>
        <w:pStyle w:val="9"/>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leftChars="0" w:right="0" w:rightChars="0" w:firstLine="640" w:firstLineChars="200"/>
        <w:jc w:val="left"/>
        <w:textAlignment w:val="auto"/>
        <w:rPr>
          <w:rFonts w:hint="default" w:ascii="仿宋_GB2312" w:hAnsi="Times New Roman" w:eastAsia="仿宋_GB2312" w:cs="Times New Roman"/>
          <w:color w:val="auto"/>
          <w:spacing w:val="0"/>
          <w:kern w:val="2"/>
          <w:sz w:val="32"/>
          <w:szCs w:val="32"/>
          <w:highlight w:val="none"/>
          <w:lang w:val="zh-CN" w:eastAsia="zh-CN" w:bidi="ar-SA"/>
        </w:rPr>
      </w:pPr>
      <w:r>
        <w:rPr>
          <w:rFonts w:hint="eastAsia" w:ascii="仿宋_GB2312" w:eastAsia="仿宋_GB2312" w:cs="Times New Roman"/>
          <w:color w:val="auto"/>
          <w:spacing w:val="0"/>
          <w:kern w:val="2"/>
          <w:sz w:val="32"/>
          <w:szCs w:val="32"/>
          <w:lang w:val="en-US" w:eastAsia="zh-CN" w:bidi="ar-SA"/>
        </w:rPr>
        <w:t>5</w:t>
      </w:r>
      <w:r>
        <w:rPr>
          <w:rFonts w:hint="default" w:ascii="仿宋_GB2312" w:hAnsi="Times New Roman" w:eastAsia="仿宋_GB2312" w:cs="Times New Roman"/>
          <w:color w:val="auto"/>
          <w:spacing w:val="0"/>
          <w:kern w:val="2"/>
          <w:sz w:val="32"/>
          <w:szCs w:val="32"/>
          <w:lang w:val="zh-CN" w:eastAsia="zh-CN" w:bidi="ar-SA"/>
        </w:rPr>
        <w:t>.</w:t>
      </w:r>
      <w:r>
        <w:rPr>
          <w:rFonts w:hint="default" w:ascii="仿宋_GB2312" w:hAnsi="Times New Roman" w:eastAsia="仿宋_GB2312" w:cs="Times New Roman"/>
          <w:color w:val="auto"/>
          <w:spacing w:val="0"/>
          <w:kern w:val="2"/>
          <w:sz w:val="32"/>
          <w:szCs w:val="32"/>
          <w:highlight w:val="none"/>
          <w:lang w:val="zh-CN" w:eastAsia="zh-CN" w:bidi="ar-SA"/>
        </w:rPr>
        <w:t>住房保障支出（类）</w:t>
      </w:r>
      <w:r>
        <w:rPr>
          <w:rFonts w:hint="eastAsia" w:ascii="仿宋_GB2312" w:hAnsi="Times New Roman" w:eastAsia="仿宋_GB2312" w:cs="Times New Roman"/>
          <w:color w:val="auto"/>
          <w:spacing w:val="0"/>
          <w:kern w:val="2"/>
          <w:sz w:val="32"/>
          <w:szCs w:val="32"/>
          <w:highlight w:val="none"/>
          <w:lang w:val="zh-CN" w:eastAsia="zh-CN" w:bidi="ar-SA"/>
        </w:rPr>
        <w:t>140.24</w:t>
      </w:r>
      <w:r>
        <w:rPr>
          <w:rFonts w:hint="default" w:ascii="仿宋_GB2312" w:hAnsi="Times New Roman" w:eastAsia="仿宋_GB2312" w:cs="Times New Roman"/>
          <w:color w:val="auto"/>
          <w:spacing w:val="0"/>
          <w:kern w:val="2"/>
          <w:sz w:val="32"/>
          <w:szCs w:val="32"/>
          <w:highlight w:val="none"/>
          <w:lang w:val="zh-CN" w:eastAsia="zh-CN" w:bidi="ar-SA"/>
        </w:rPr>
        <w:t>万元，占</w:t>
      </w:r>
      <w:r>
        <w:rPr>
          <w:rFonts w:hint="eastAsia" w:ascii="仿宋_GB2312" w:hAnsi="Times New Roman" w:eastAsia="仿宋_GB2312" w:cs="Times New Roman"/>
          <w:color w:val="auto"/>
          <w:spacing w:val="0"/>
          <w:kern w:val="2"/>
          <w:sz w:val="32"/>
          <w:szCs w:val="32"/>
          <w:highlight w:val="none"/>
          <w:lang w:val="zh-CN" w:eastAsia="zh-CN" w:bidi="ar-SA"/>
        </w:rPr>
        <w:t>3.30</w:t>
      </w:r>
      <w:r>
        <w:rPr>
          <w:rFonts w:hint="default" w:ascii="仿宋_GB2312" w:hAnsi="Times New Roman" w:eastAsia="仿宋_GB2312" w:cs="Times New Roman"/>
          <w:color w:val="auto"/>
          <w:spacing w:val="0"/>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lang w:eastAsia="zh-CN"/>
        </w:rPr>
      </w:pPr>
      <w:r>
        <w:rPr>
          <w:rFonts w:hint="eastAsia" w:ascii="黑体" w:hAnsi="黑体" w:eastAsia="黑体"/>
          <w:color w:val="auto"/>
          <w:sz w:val="32"/>
          <w:szCs w:val="32"/>
          <w:highlight w:val="none"/>
          <w:lang w:eastAsia="zh-CN"/>
        </w:rPr>
        <w:t>（三）一般公共预算财政拨款支出决算具体情况</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1.卫生健康支出（类）行政事业单位医疗（款）行政单位医疗（项）:支出决算数为87.65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6.84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7.24%，主要原因是：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单独编报部门决算，2022年部门决算中该支出包含本级及下属6家单位部门决算数据</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2.卫生健康支出（类）行政事业单位医疗（款）公务员医疗补助（项）:支出决算数为81.81</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29.10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26.24%，主要原因是：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单独编报部门决算，2022年部门决算中该支出包含本级及下属6家单位部门决算数据</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3.住房保障支出（类）住房改革支出（款）住房公积金（项）:支出决算数为140.24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58.07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29.28%，主要原因是：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单独编报部门决算，2022年部门决算中该支出包含本级及下属6家单位部门决算数据</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4.社会保障和就业支出（类）行政事业单位养老支出（款）行政单位离退休（项）:支出决算数为185.25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137.27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42.56%，主要原因是：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单独编报部门决算，2022年部门决算中该支出包含本级及下属6家单位部门决算数据</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default" w:ascii="仿宋_GB2312" w:eastAsia="仿宋_GB2312"/>
          <w:color w:val="auto"/>
          <w:spacing w:val="0"/>
          <w:sz w:val="32"/>
          <w:szCs w:val="32"/>
          <w:highlight w:val="none"/>
          <w:lang w:val="en-US" w:eastAsia="zh-CN"/>
        </w:rPr>
      </w:pPr>
      <w:r>
        <w:rPr>
          <w:rFonts w:hint="eastAsia" w:ascii="Times New Roman" w:hAnsi="Times New Roman" w:eastAsia="仿宋_GB2312" w:cs="Times New Roman"/>
          <w:color w:val="auto"/>
          <w:kern w:val="2"/>
          <w:sz w:val="32"/>
          <w:szCs w:val="32"/>
          <w:highlight w:val="none"/>
          <w:lang w:val="en-US" w:eastAsia="zh-CN" w:bidi="ar-SA"/>
        </w:rPr>
        <w:t>5.节能环保支出（类）能源节约利用（款）能源节约利用（项）:支出决算数为19.22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19.22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该支出为2023年度追加绿色食堂示范项目，2022年无此项支出。</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6.社会保障和就业支出（类）行政事业单位养老支出（款）机关事业单位职业年金缴费支出（项）:支出决算数为132.55</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117.67</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790.77%，主要原因是：</w:t>
      </w:r>
      <w:r>
        <w:rPr>
          <w:rFonts w:hint="eastAsia" w:eastAsia="仿宋_GB2312" w:cs="Times New Roman"/>
          <w:color w:val="auto"/>
          <w:kern w:val="2"/>
          <w:sz w:val="32"/>
          <w:szCs w:val="32"/>
          <w:highlight w:val="none"/>
          <w:lang w:val="en-US" w:eastAsia="zh-CN" w:bidi="ar-SA"/>
        </w:rPr>
        <w:t>2023年机关在职转退休人员18人，财政拨付18名退休人员职业年金缴费支出132.55万元</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7.社会保障和就业支出（类）行政事业单位养老支出（款）机关事业单位基本养老保险缴费支出（项）:支出决算数为186.99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77.42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29.28%，主要原因是：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单独编报部门决算，2022年部门决算中该支出包含本级及下属6家单位部门决算数据</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default" w:ascii="仿宋_GB2312" w:eastAsia="仿宋_GB2312"/>
          <w:color w:val="auto"/>
          <w:spacing w:val="0"/>
          <w:sz w:val="32"/>
          <w:szCs w:val="32"/>
          <w:highlight w:val="none"/>
          <w:lang w:val="en-US" w:eastAsia="zh-CN"/>
        </w:rPr>
      </w:pPr>
      <w:r>
        <w:rPr>
          <w:rFonts w:hint="eastAsia" w:ascii="Times New Roman" w:hAnsi="Times New Roman" w:eastAsia="仿宋_GB2312" w:cs="Times New Roman"/>
          <w:color w:val="auto"/>
          <w:kern w:val="2"/>
          <w:sz w:val="32"/>
          <w:szCs w:val="32"/>
          <w:highlight w:val="none"/>
          <w:lang w:val="en-US" w:eastAsia="zh-CN" w:bidi="ar-SA"/>
        </w:rPr>
        <w:t>8.一般公共服务支出（类）民族事务（款）民族工作专项（项）:支出决算数为35.64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35.64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该支出为2023年度追加新疆人才发展基金人才计划项目，2022年无此项支出。</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9.一般公共服务支出（类）民族事务（款）一般行政管理事务（项）:支出决算数为7.00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7.00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该支出为2023年度追加新疆骨干人才研修项目，2022年无此项支出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default" w:ascii="Times New Roman" w:hAnsi="Times New Roman" w:eastAsia="仿宋_GB2312" w:cs="Times New Roman"/>
          <w:color w:val="auto"/>
          <w:kern w:val="2"/>
          <w:sz w:val="32"/>
          <w:szCs w:val="32"/>
          <w:highlight w:val="none"/>
          <w:lang w:val="en-US" w:eastAsia="zh-CN" w:bidi="ar-SA"/>
        </w:rPr>
      </w:pPr>
      <w:r>
        <w:rPr>
          <w:rFonts w:hint="eastAsia" w:ascii="Times New Roman" w:hAnsi="Times New Roman" w:eastAsia="仿宋_GB2312" w:cs="Times New Roman"/>
          <w:color w:val="auto"/>
          <w:kern w:val="2"/>
          <w:sz w:val="32"/>
          <w:szCs w:val="32"/>
          <w:highlight w:val="none"/>
          <w:lang w:val="en-US" w:eastAsia="zh-CN" w:bidi="ar-SA"/>
        </w:rPr>
        <w:t>10.一般公共服务支出（类）民族事务（款）其他民族事务支出（项）:支出决算数为1,282.80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980.30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324.07%，主要原因是：</w:t>
      </w:r>
      <w:r>
        <w:rPr>
          <w:rFonts w:hint="eastAsia" w:eastAsia="仿宋_GB2312" w:cs="Times New Roman"/>
          <w:color w:val="auto"/>
          <w:kern w:val="2"/>
          <w:sz w:val="32"/>
          <w:szCs w:val="32"/>
          <w:highlight w:val="none"/>
          <w:lang w:val="en-US" w:eastAsia="zh-CN" w:bidi="ar-SA"/>
        </w:rPr>
        <w:t>2023年追加中华民族共同体体验馆新疆体验项目、自治区第十届少数民族传统体育运动会等项目经费，其他民族事务支出增加</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11.一般公共服务支出（类）统战事务（款）其他统战事务支出（项）:支出决算数为69.22</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51.24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284.9</w:t>
      </w:r>
      <w:r>
        <w:rPr>
          <w:rFonts w:hint="eastAsia" w:eastAsia="仿宋_GB2312" w:cs="Times New Roman"/>
          <w:color w:val="auto"/>
          <w:kern w:val="2"/>
          <w:sz w:val="32"/>
          <w:szCs w:val="32"/>
          <w:highlight w:val="none"/>
          <w:lang w:val="en-US" w:eastAsia="zh-CN" w:bidi="ar-SA"/>
        </w:rPr>
        <w:t>8</w:t>
      </w:r>
      <w:r>
        <w:rPr>
          <w:rFonts w:hint="eastAsia" w:ascii="Times New Roman" w:hAnsi="Times New Roman" w:eastAsia="仿宋_GB2312" w:cs="Times New Roman"/>
          <w:color w:val="auto"/>
          <w:kern w:val="2"/>
          <w:sz w:val="32"/>
          <w:szCs w:val="32"/>
          <w:highlight w:val="none"/>
          <w:lang w:val="en-US" w:eastAsia="zh-CN" w:bidi="ar-SA"/>
        </w:rPr>
        <w:t>%，主要原因是：</w:t>
      </w:r>
      <w:r>
        <w:rPr>
          <w:rFonts w:hint="eastAsia" w:eastAsia="仿宋_GB2312" w:cs="Times New Roman"/>
          <w:color w:val="auto"/>
          <w:kern w:val="2"/>
          <w:sz w:val="32"/>
          <w:szCs w:val="32"/>
          <w:highlight w:val="none"/>
          <w:lang w:val="en-US" w:eastAsia="zh-CN" w:bidi="ar-SA"/>
        </w:rPr>
        <w:t>2022年因疫情影响，XJCJ工作未开展，2023年度此工作正常开展，项目支出增加</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12.一般公共服务支出（类）民族事务（款）行政运行（项）:支出决算数为2,015.68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增加</w:t>
      </w:r>
      <w:r>
        <w:rPr>
          <w:rFonts w:hint="eastAsia" w:ascii="Times New Roman" w:hAnsi="Times New Roman" w:eastAsia="仿宋_GB2312" w:cs="Times New Roman"/>
          <w:color w:val="auto"/>
          <w:kern w:val="2"/>
          <w:sz w:val="32"/>
          <w:szCs w:val="32"/>
          <w:highlight w:val="none"/>
          <w:lang w:val="en-US" w:eastAsia="zh-CN" w:bidi="ar-SA"/>
        </w:rPr>
        <w:t>96.18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增长</w:t>
      </w:r>
      <w:r>
        <w:rPr>
          <w:rFonts w:hint="eastAsia" w:ascii="Times New Roman" w:hAnsi="Times New Roman" w:eastAsia="仿宋_GB2312" w:cs="Times New Roman"/>
          <w:color w:val="auto"/>
          <w:kern w:val="2"/>
          <w:sz w:val="32"/>
          <w:szCs w:val="32"/>
          <w:highlight w:val="none"/>
          <w:lang w:val="en-US" w:eastAsia="zh-CN" w:bidi="ar-SA"/>
        </w:rPr>
        <w:t>5.01%，主要原因是：人员变动、工资调整、工资福利支出及日常公用经费增加。</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13.卫生健康支出（类）行政事业单位医疗（款）事业单位医疗（项）:支出决算数为0.00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48.11</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单独编报部门决算，无次项支出。上年决算支出为下属事业单位医疗费支出</w:t>
      </w:r>
      <w:r>
        <w:rPr>
          <w:rFonts w:hint="eastAsia" w:ascii="仿宋_GB2312" w:eastAsia="仿宋_GB2312"/>
          <w:color w:val="auto"/>
          <w:spacing w:val="0"/>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14.一般公共服务支出（类）民族事务（款）机关服务（项）:支出决算数为0.00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188.38</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单独编报部门决算，无次项支出。上年决算支出为下属单位机关服务中心支出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15.一般公共服务支出（类）民族事务（款）事业运行（项）:支出决算数为0.00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572.93</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单独编报部门决算，无次项支出。上年决算支出为下属古籍办、民研所、民编室3家事业单位事业运行支出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16.一般公共服务支出（类）统战事务（款）行政运行（项）:支出决算数为0.00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213.14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单独编报部门决算，无次项支出。上年决算支出为下属自治区伊协、佛协统战事务行政运行支出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17.一般公共服务支出（类）统战事务（款）宗教事务（项）:支出决算数为0.00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3.00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单独编报部门决算，无次项支出。上年决算支出为下属自治区伊协统战事务宗教事务支出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Times New Roman" w:hAnsi="Times New Roman" w:eastAsia="仿宋_GB2312" w:cs="Times New Roman"/>
          <w:color w:val="auto"/>
          <w:kern w:val="2"/>
          <w:sz w:val="32"/>
          <w:szCs w:val="32"/>
          <w:highlight w:val="none"/>
          <w:lang w:val="zh-CN" w:eastAsia="zh-CN" w:bidi="ar-SA"/>
        </w:rPr>
      </w:pPr>
      <w:r>
        <w:rPr>
          <w:rFonts w:hint="eastAsia" w:ascii="Times New Roman" w:hAnsi="Times New Roman" w:eastAsia="仿宋_GB2312" w:cs="Times New Roman"/>
          <w:color w:val="auto"/>
          <w:kern w:val="2"/>
          <w:sz w:val="32"/>
          <w:szCs w:val="32"/>
          <w:highlight w:val="none"/>
          <w:lang w:val="en-US" w:eastAsia="zh-CN" w:bidi="ar-SA"/>
        </w:rPr>
        <w:t>18.一般公共服务支出（类）统战事务（款）事业运行（项）:支出决算数为0.00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32.74</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单独编报部门决算，无次项支出。上年决算支出为下属自治区伊协统战事务事业运行支出</w:t>
      </w:r>
      <w:r>
        <w:rPr>
          <w:rFonts w:hint="eastAsia" w:eastAsia="仿宋_GB2312" w:cs="Times New Roman"/>
          <w:color w:val="auto"/>
          <w:kern w:val="2"/>
          <w:sz w:val="32"/>
          <w:szCs w:val="32"/>
          <w:highlight w:val="none"/>
          <w:lang w:val="zh-CN" w:eastAsia="zh-CN" w:bidi="ar-SA"/>
        </w:rPr>
        <w:t>。</w:t>
      </w:r>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default" w:ascii="Times New Roman" w:hAnsi="Times New Roman" w:eastAsia="仿宋_GB2312" w:cs="Times New Roman"/>
          <w:color w:val="auto"/>
          <w:kern w:val="2"/>
          <w:sz w:val="32"/>
          <w:szCs w:val="32"/>
          <w:highlight w:val="none"/>
          <w:lang w:val="en-US" w:eastAsia="zh-CN" w:bidi="ar-SA"/>
        </w:rPr>
      </w:pPr>
      <w:r>
        <w:rPr>
          <w:rFonts w:hint="eastAsia" w:ascii="Times New Roman" w:hAnsi="Times New Roman" w:eastAsia="仿宋_GB2312" w:cs="Times New Roman"/>
          <w:color w:val="auto"/>
          <w:kern w:val="2"/>
          <w:sz w:val="32"/>
          <w:szCs w:val="32"/>
          <w:highlight w:val="none"/>
          <w:lang w:val="en-US" w:eastAsia="zh-CN" w:bidi="ar-SA"/>
        </w:rPr>
        <w:t>19.社会保障和就业支出（类）行政事业单位养老支出（款）事业单位离退休（项）:支出决算数为0.00</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，比上年决算</w:t>
      </w:r>
      <w:r>
        <w:rPr>
          <w:rFonts w:hint="eastAsia" w:eastAsia="仿宋_GB2312" w:cs="Times New Roman"/>
          <w:color w:val="auto"/>
          <w:kern w:val="2"/>
          <w:sz w:val="32"/>
          <w:szCs w:val="32"/>
          <w:highlight w:val="none"/>
          <w:lang w:val="en-US" w:eastAsia="zh-CN" w:bidi="ar-SA"/>
        </w:rPr>
        <w:t>减少</w:t>
      </w:r>
      <w:r>
        <w:rPr>
          <w:rFonts w:hint="eastAsia" w:ascii="Times New Roman" w:hAnsi="Times New Roman" w:eastAsia="仿宋_GB2312" w:cs="Times New Roman"/>
          <w:color w:val="auto"/>
          <w:kern w:val="2"/>
          <w:sz w:val="32"/>
          <w:szCs w:val="32"/>
          <w:highlight w:val="none"/>
          <w:lang w:val="en-US" w:eastAsia="zh-CN" w:bidi="ar-SA"/>
        </w:rPr>
        <w:t>34.79</w:t>
      </w:r>
      <w:r>
        <w:rPr>
          <w:rFonts w:hint="eastAsia" w:eastAsia="仿宋_GB2312" w:cs="Times New Roman"/>
          <w:color w:val="auto"/>
          <w:kern w:val="2"/>
          <w:sz w:val="32"/>
          <w:szCs w:val="32"/>
          <w:highlight w:val="none"/>
          <w:lang w:val="en-US" w:eastAsia="zh-CN" w:bidi="ar-SA"/>
        </w:rPr>
        <w:t>万元</w:t>
      </w:r>
      <w:r>
        <w:rPr>
          <w:rFonts w:hint="eastAsia" w:ascii="Times New Roman" w:hAnsi="Times New Roman" w:eastAsia="仿宋_GB2312" w:cs="Times New Roman"/>
          <w:color w:val="auto"/>
          <w:kern w:val="2"/>
          <w:sz w:val="32"/>
          <w:szCs w:val="32"/>
          <w:highlight w:val="none"/>
          <w:lang w:val="en-US" w:eastAsia="zh-CN" w:bidi="ar-SA"/>
        </w:rPr>
        <w:t>，</w:t>
      </w:r>
      <w:r>
        <w:rPr>
          <w:rFonts w:hint="eastAsia" w:eastAsia="仿宋_GB2312" w:cs="Times New Roman"/>
          <w:color w:val="auto"/>
          <w:kern w:val="2"/>
          <w:sz w:val="32"/>
          <w:szCs w:val="32"/>
          <w:highlight w:val="none"/>
          <w:lang w:val="en-US" w:eastAsia="zh-CN" w:bidi="ar-SA"/>
        </w:rPr>
        <w:t>下降</w:t>
      </w:r>
      <w:r>
        <w:rPr>
          <w:rFonts w:hint="eastAsia" w:ascii="Times New Roman" w:hAnsi="Times New Roman" w:eastAsia="仿宋_GB2312" w:cs="Times New Roman"/>
          <w:color w:val="auto"/>
          <w:kern w:val="2"/>
          <w:sz w:val="32"/>
          <w:szCs w:val="32"/>
          <w:highlight w:val="none"/>
          <w:lang w:val="en-US" w:eastAsia="zh-CN" w:bidi="ar-SA"/>
        </w:rPr>
        <w:t>100%，主要原因是：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单独编报部门决算，无次项支出。上年决算支出为下属4家预算单位事业单位离退休支出。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六、一般公共预算财政拨款基本支出决算情况说明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pacing w:val="0"/>
          <w:sz w:val="32"/>
          <w:szCs w:val="32"/>
          <w:highlight w:val="none"/>
          <w:lang w:eastAsia="zh-CN"/>
        </w:rPr>
        <w:t>2023年度</w:t>
      </w:r>
      <w:r>
        <w:rPr>
          <w:rFonts w:hint="eastAsia" w:ascii="仿宋_GB2312" w:eastAsia="仿宋_GB2312"/>
          <w:color w:val="auto"/>
          <w:sz w:val="32"/>
          <w:szCs w:val="32"/>
          <w:highlight w:val="none"/>
        </w:rPr>
        <w:t>一般公共预算财政拨款基本支出</w:t>
      </w:r>
      <w:r>
        <w:rPr>
          <w:rFonts w:hint="eastAsia" w:ascii="仿宋_GB2312" w:eastAsia="仿宋_GB2312"/>
          <w:color w:val="auto"/>
          <w:sz w:val="32"/>
          <w:szCs w:val="32"/>
          <w:highlight w:val="none"/>
          <w:lang w:eastAsia="zh-CN"/>
        </w:rPr>
        <w:t>2,830.16</w:t>
      </w:r>
      <w:r>
        <w:rPr>
          <w:rFonts w:hint="eastAsia" w:ascii="仿宋_GB2312" w:eastAsia="仿宋_GB2312"/>
          <w:color w:val="auto"/>
          <w:sz w:val="32"/>
          <w:szCs w:val="32"/>
          <w:highlight w:val="none"/>
        </w:rPr>
        <w:t>万元，其中：人员经费</w:t>
      </w:r>
      <w:r>
        <w:rPr>
          <w:rFonts w:hint="eastAsia" w:ascii="仿宋_GB2312" w:eastAsia="仿宋_GB2312"/>
          <w:color w:val="auto"/>
          <w:sz w:val="32"/>
          <w:szCs w:val="32"/>
          <w:highlight w:val="none"/>
          <w:lang w:eastAsia="zh-CN"/>
        </w:rPr>
        <w:t>2,466.73</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基本工资、津贴补贴、奖金、机关事业单位基本养老保险缴费、职业年金缴费、职工基本医疗保险缴费、公务员医疗补助缴费、其他社会保障缴费、住房公积金、其他工资福利支出、离休费、退休费、抚恤金、其他对个人和家庭的补助。</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default" w:ascii="仿宋_GB2312" w:eastAsia="仿宋_GB2312"/>
          <w:color w:val="auto"/>
          <w:sz w:val="32"/>
          <w:szCs w:val="32"/>
          <w:highlight w:val="red"/>
          <w:lang w:val="en-US" w:eastAsia="zh-CN"/>
        </w:rPr>
      </w:pPr>
      <w:r>
        <w:rPr>
          <w:rFonts w:hint="eastAsia" w:ascii="仿宋_GB2312" w:eastAsia="仿宋_GB2312"/>
          <w:color w:val="auto"/>
          <w:sz w:val="32"/>
          <w:szCs w:val="32"/>
          <w:highlight w:val="none"/>
        </w:rPr>
        <w:t>公用经费</w:t>
      </w:r>
      <w:r>
        <w:rPr>
          <w:rFonts w:hint="eastAsia" w:ascii="仿宋_GB2312" w:eastAsia="仿宋_GB2312"/>
          <w:color w:val="auto"/>
          <w:sz w:val="32"/>
          <w:szCs w:val="32"/>
          <w:highlight w:val="none"/>
          <w:lang w:eastAsia="zh-CN"/>
        </w:rPr>
        <w:t>363.42</w:t>
      </w:r>
      <w:r>
        <w:rPr>
          <w:rFonts w:hint="eastAsia" w:ascii="仿宋_GB2312" w:eastAsia="仿宋_GB2312"/>
          <w:color w:val="auto"/>
          <w:sz w:val="32"/>
          <w:szCs w:val="32"/>
          <w:highlight w:val="none"/>
        </w:rPr>
        <w:t>万元，包括：</w:t>
      </w:r>
      <w:r>
        <w:rPr>
          <w:rFonts w:hint="eastAsia" w:ascii="仿宋_GB2312" w:eastAsia="仿宋_GB2312"/>
          <w:color w:val="auto"/>
          <w:sz w:val="32"/>
          <w:szCs w:val="32"/>
          <w:highlight w:val="none"/>
          <w:lang w:val="en-US" w:eastAsia="zh-CN"/>
        </w:rPr>
        <w:t>办公费、印刷费、水费、电费、邮电费、取暖费、物业管理费、差旅费、公务接待费、工会经费、福利费、公务用车运行维护费、其他商品和服务支出。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七、</w:t>
      </w:r>
      <w:r>
        <w:rPr>
          <w:rFonts w:hint="eastAsia" w:ascii="黑体" w:hAnsi="黑体" w:eastAsia="黑体" w:cs="宋体"/>
          <w:bCs/>
          <w:color w:val="auto"/>
          <w:kern w:val="0"/>
          <w:sz w:val="32"/>
          <w:szCs w:val="32"/>
          <w:highlight w:val="none"/>
          <w:lang w:eastAsia="zh-CN"/>
        </w:rPr>
        <w:t>财政拨款</w:t>
      </w:r>
      <w:r>
        <w:rPr>
          <w:rFonts w:hint="eastAsia" w:ascii="黑体" w:hAnsi="黑体" w:eastAsia="黑体" w:cs="宋体"/>
          <w:bCs/>
          <w:color w:val="auto"/>
          <w:kern w:val="0"/>
          <w:sz w:val="32"/>
          <w:szCs w:val="32"/>
          <w:highlight w:val="none"/>
        </w:rPr>
        <w:t>“三公”经费支出</w:t>
      </w:r>
      <w:r>
        <w:rPr>
          <w:rFonts w:hint="eastAsia" w:ascii="黑体" w:hAnsi="黑体" w:eastAsia="黑体" w:cs="宋体"/>
          <w:bCs/>
          <w:color w:val="auto"/>
          <w:kern w:val="0"/>
          <w:sz w:val="32"/>
          <w:szCs w:val="32"/>
          <w:highlight w:val="none"/>
          <w:lang w:eastAsia="zh-CN"/>
        </w:rPr>
        <w:t>决算</w:t>
      </w:r>
      <w:r>
        <w:rPr>
          <w:rFonts w:hint="eastAsia" w:ascii="黑体" w:hAnsi="黑体" w:eastAsia="黑体" w:cs="宋体"/>
          <w:bCs/>
          <w:color w:val="auto"/>
          <w:kern w:val="0"/>
          <w:sz w:val="32"/>
          <w:szCs w:val="32"/>
          <w:highlight w:val="none"/>
        </w:rPr>
        <w:t>情况</w:t>
      </w:r>
      <w:r>
        <w:rPr>
          <w:rFonts w:hint="eastAsia" w:ascii="黑体" w:hAnsi="黑体" w:eastAsia="黑体" w:cs="宋体"/>
          <w:bCs/>
          <w:color w:val="auto"/>
          <w:kern w:val="0"/>
          <w:sz w:val="32"/>
          <w:szCs w:val="32"/>
          <w:highlight w:val="none"/>
          <w:lang w:eastAsia="zh-CN"/>
        </w:rPr>
        <w:t>说明</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2023年度</w:t>
      </w:r>
      <w:r>
        <w:rPr>
          <w:rFonts w:hint="eastAsia" w:ascii="仿宋_GB2312" w:eastAsia="仿宋_GB2312"/>
          <w:color w:val="auto"/>
          <w:sz w:val="32"/>
          <w:szCs w:val="32"/>
          <w:highlight w:val="none"/>
          <w:lang w:val="en-US" w:eastAsia="zh-CN"/>
        </w:rPr>
        <w:t>财政拨款</w:t>
      </w:r>
      <w:r>
        <w:rPr>
          <w:rFonts w:hint="eastAsia" w:ascii="仿宋_GB2312" w:eastAsia="仿宋_GB2312"/>
          <w:color w:val="auto"/>
          <w:sz w:val="32"/>
          <w:szCs w:val="32"/>
          <w:highlight w:val="none"/>
          <w:lang w:val="zh-CN" w:eastAsia="zh-CN"/>
        </w:rPr>
        <w:t>“三公”经费支出41.94万元，</w:t>
      </w:r>
      <w:r>
        <w:rPr>
          <w:rFonts w:hint="eastAsia" w:ascii="仿宋_GB2312" w:eastAsia="仿宋_GB2312"/>
          <w:color w:val="auto"/>
          <w:sz w:val="32"/>
          <w:szCs w:val="32"/>
          <w:highlight w:val="none"/>
          <w:lang w:val="en-US" w:eastAsia="zh-CN"/>
        </w:rPr>
        <w:t>比上年</w:t>
      </w:r>
      <w:r>
        <w:rPr>
          <w:rFonts w:hint="eastAsia" w:ascii="仿宋_GB2312" w:eastAsia="仿宋_GB2312"/>
          <w:color w:val="auto"/>
          <w:sz w:val="32"/>
          <w:szCs w:val="32"/>
          <w:highlight w:val="none"/>
          <w:lang w:val="zh-CN" w:eastAsia="zh-CN"/>
        </w:rPr>
        <w:t>减少5.00万元，</w:t>
      </w:r>
      <w:r>
        <w:rPr>
          <w:rFonts w:hint="eastAsia" w:ascii="仿宋_GB2312" w:eastAsia="仿宋_GB2312"/>
          <w:color w:val="auto"/>
          <w:spacing w:val="0"/>
          <w:sz w:val="32"/>
          <w:szCs w:val="32"/>
          <w:highlight w:val="none"/>
          <w:lang w:val="en-US" w:eastAsia="zh-CN"/>
        </w:rPr>
        <w:t>下降10.66%,</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pacing w:val="0"/>
          <w:sz w:val="32"/>
          <w:szCs w:val="32"/>
          <w:highlight w:val="none"/>
          <w:lang w:val="en-US" w:eastAsia="zh-CN"/>
        </w:rPr>
        <w:t>2023年，</w:t>
      </w:r>
      <w:r>
        <w:rPr>
          <w:rFonts w:hint="eastAsia" w:ascii="仿宋_GB2312" w:eastAsia="仿宋_GB2312"/>
          <w:color w:val="auto"/>
          <w:sz w:val="32"/>
          <w:szCs w:val="32"/>
          <w:highlight w:val="none"/>
          <w:lang w:val="en-US" w:eastAsia="zh-CN"/>
        </w:rPr>
        <w:t>新疆维吾尔自治区民族事务委员会（宗教事务局）本级</w:t>
      </w:r>
      <w:r>
        <w:rPr>
          <w:rFonts w:hint="eastAsia" w:ascii="仿宋_GB2312" w:eastAsia="仿宋_GB2312"/>
          <w:color w:val="auto"/>
          <w:spacing w:val="0"/>
          <w:sz w:val="32"/>
          <w:szCs w:val="32"/>
          <w:highlight w:val="none"/>
          <w:lang w:val="en-US" w:eastAsia="zh-CN"/>
        </w:rPr>
        <w:t>单独编报部门决算，</w:t>
      </w:r>
      <w:r>
        <w:rPr>
          <w:rFonts w:hint="eastAsia" w:ascii="仿宋_GB2312" w:eastAsia="仿宋_GB2312"/>
          <w:color w:val="auto"/>
          <w:sz w:val="32"/>
          <w:szCs w:val="32"/>
          <w:highlight w:val="none"/>
          <w:lang w:val="en-US" w:eastAsia="zh-CN"/>
        </w:rPr>
        <w:t>上年“三公”经费支出决算中包括下属6家预算单位经费。</w:t>
      </w:r>
      <w:r>
        <w:rPr>
          <w:rFonts w:hint="eastAsia" w:ascii="仿宋_GB2312" w:eastAsia="仿宋_GB2312"/>
          <w:color w:val="auto"/>
          <w:sz w:val="32"/>
          <w:szCs w:val="32"/>
          <w:highlight w:val="none"/>
          <w:lang w:val="zh-CN" w:eastAsia="zh-CN"/>
        </w:rPr>
        <w:t>其中：因公出国（境）费支出0.00万元，占0.00%，比上年增加0.00万元，</w:t>
      </w:r>
      <w:r>
        <w:rPr>
          <w:rFonts w:hint="eastAsia" w:ascii="仿宋_GB2312" w:eastAsia="仿宋_GB2312"/>
          <w:color w:val="auto"/>
          <w:spacing w:val="0"/>
          <w:sz w:val="32"/>
          <w:szCs w:val="32"/>
          <w:highlight w:val="none"/>
          <w:lang w:val="en-US" w:eastAsia="zh-CN"/>
        </w:rPr>
        <w:t>增长0.00%,</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因公出国（境）费支出；公务用车购置及运行维护费支出39.00万元，占92.99%，比上年减少5.32万元，</w:t>
      </w:r>
      <w:r>
        <w:rPr>
          <w:rFonts w:hint="eastAsia" w:ascii="仿宋_GB2312" w:eastAsia="仿宋_GB2312"/>
          <w:color w:val="auto"/>
          <w:spacing w:val="0"/>
          <w:sz w:val="32"/>
          <w:szCs w:val="32"/>
          <w:highlight w:val="none"/>
          <w:lang w:val="en-US" w:eastAsia="zh-CN"/>
        </w:rPr>
        <w:t>下降12.01%,</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上年</w:t>
      </w:r>
      <w:r>
        <w:rPr>
          <w:rFonts w:hint="eastAsia" w:ascii="仿宋_GB2312" w:eastAsia="仿宋_GB2312"/>
          <w:color w:val="auto"/>
          <w:sz w:val="32"/>
          <w:szCs w:val="32"/>
          <w:highlight w:val="none"/>
          <w:lang w:val="zh-CN" w:eastAsia="zh-CN"/>
        </w:rPr>
        <w:t>公务用车购置及运行维护费</w:t>
      </w:r>
      <w:r>
        <w:rPr>
          <w:rFonts w:hint="eastAsia" w:ascii="仿宋_GB2312" w:eastAsia="仿宋_GB2312"/>
          <w:color w:val="auto"/>
          <w:sz w:val="32"/>
          <w:szCs w:val="32"/>
          <w:highlight w:val="none"/>
          <w:lang w:val="en-US" w:eastAsia="zh-CN"/>
        </w:rPr>
        <w:t>经费支出决算中包括下属自治区伊协、佛协</w:t>
      </w:r>
      <w:r>
        <w:rPr>
          <w:rFonts w:hint="eastAsia" w:ascii="仿宋_GB2312" w:eastAsia="仿宋_GB2312"/>
          <w:color w:val="auto"/>
          <w:sz w:val="32"/>
          <w:szCs w:val="32"/>
          <w:highlight w:val="none"/>
          <w:lang w:val="zh-CN" w:eastAsia="zh-CN"/>
        </w:rPr>
        <w:t>公务用车</w:t>
      </w:r>
      <w:r>
        <w:rPr>
          <w:rFonts w:hint="eastAsia" w:ascii="仿宋_GB2312" w:eastAsia="仿宋_GB2312"/>
          <w:color w:val="auto"/>
          <w:sz w:val="32"/>
          <w:szCs w:val="32"/>
          <w:highlight w:val="none"/>
          <w:lang w:val="en-US" w:eastAsia="zh-CN"/>
        </w:rPr>
        <w:t>运行维护费5.32万元</w:t>
      </w:r>
      <w:r>
        <w:rPr>
          <w:rFonts w:hint="eastAsia" w:ascii="仿宋_GB2312" w:eastAsia="仿宋_GB2312"/>
          <w:color w:val="auto"/>
          <w:sz w:val="32"/>
          <w:szCs w:val="32"/>
          <w:highlight w:val="none"/>
          <w:lang w:val="zh-CN" w:eastAsia="zh-CN"/>
        </w:rPr>
        <w:t>；公务接待费支出2.94万元，占7.01%，比上年增加0.32万元，</w:t>
      </w:r>
      <w:r>
        <w:rPr>
          <w:rFonts w:hint="eastAsia" w:ascii="仿宋_GB2312" w:eastAsia="仿宋_GB2312"/>
          <w:color w:val="auto"/>
          <w:spacing w:val="0"/>
          <w:sz w:val="32"/>
          <w:szCs w:val="32"/>
          <w:highlight w:val="none"/>
          <w:lang w:val="en-US" w:eastAsia="zh-CN"/>
        </w:rPr>
        <w:t>增长11.79%,</w:t>
      </w:r>
      <w:r>
        <w:rPr>
          <w:rFonts w:hint="eastAsia" w:ascii="仿宋_GB2312" w:eastAsia="仿宋_GB2312"/>
          <w:color w:val="auto"/>
          <w:sz w:val="32"/>
          <w:szCs w:val="32"/>
          <w:highlight w:val="none"/>
          <w:lang w:val="zh-CN" w:eastAsia="zh-CN"/>
        </w:rPr>
        <w:t>主要原因是：</w:t>
      </w:r>
      <w:r>
        <w:rPr>
          <w:rFonts w:hint="eastAsia" w:ascii="仿宋_GB2312" w:eastAsia="仿宋_GB2312"/>
          <w:color w:val="auto"/>
          <w:sz w:val="32"/>
          <w:szCs w:val="32"/>
          <w:highlight w:val="none"/>
          <w:lang w:val="en-US" w:eastAsia="zh-CN"/>
        </w:rPr>
        <w:t>2023年因亚欧博览会及其他省市民委调研工作增加，公务接待费支出增加</w:t>
      </w:r>
      <w:r>
        <w:rPr>
          <w:rFonts w:hint="eastAsia" w:ascii="仿宋_GB2312" w:eastAsia="仿宋_GB2312"/>
          <w:color w:val="auto"/>
          <w:sz w:val="32"/>
          <w:szCs w:val="32"/>
          <w:highlight w:val="none"/>
          <w:lang w:val="zh-CN" w:eastAsia="zh-CN"/>
        </w:rPr>
        <w:t>。</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具体情况如下：</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因公出国（境）费支出0.00万元，开支内容包括</w:t>
      </w:r>
      <w:r>
        <w:rPr>
          <w:rFonts w:hint="eastAsia" w:ascii="仿宋_GB2312" w:eastAsia="仿宋_GB2312"/>
          <w:color w:val="auto"/>
          <w:sz w:val="32"/>
          <w:szCs w:val="32"/>
          <w:highlight w:val="none"/>
          <w:lang w:val="en-US" w:eastAsia="zh-CN"/>
        </w:rPr>
        <w:t>无</w:t>
      </w:r>
      <w:r>
        <w:rPr>
          <w:rFonts w:hint="eastAsia" w:ascii="仿宋_GB2312" w:eastAsia="仿宋_GB2312"/>
          <w:color w:val="auto"/>
          <w:sz w:val="32"/>
          <w:szCs w:val="32"/>
          <w:highlight w:val="none"/>
          <w:lang w:val="zh-CN" w:eastAsia="zh-CN"/>
        </w:rPr>
        <w:t>因公出国（境）费</w:t>
      </w:r>
      <w:r>
        <w:rPr>
          <w:rFonts w:hint="eastAsia" w:ascii="仿宋_GB2312" w:eastAsia="仿宋_GB2312"/>
          <w:color w:val="auto"/>
          <w:sz w:val="32"/>
          <w:szCs w:val="32"/>
          <w:highlight w:val="none"/>
          <w:lang w:val="en-US" w:eastAsia="zh-CN"/>
        </w:rPr>
        <w:t>支出</w:t>
      </w:r>
      <w:r>
        <w:rPr>
          <w:rFonts w:hint="eastAsia" w:ascii="仿宋_GB2312" w:eastAsia="仿宋_GB2312"/>
          <w:color w:val="auto"/>
          <w:sz w:val="32"/>
          <w:szCs w:val="32"/>
          <w:highlight w:val="none"/>
          <w:lang w:val="zh-CN" w:eastAsia="zh-CN"/>
        </w:rPr>
        <w:t>。单位全年安排的因公出国（境）团组0个，因公出国（境）0人次。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zh-CN" w:eastAsia="zh-CN"/>
        </w:rPr>
        <w:t>公务用车购置及运行维护费39.00万元，其中：公务用车购置费0.00万元，公务用车运行维护费39.00万元。公务用车运行维护费开支内容包括</w:t>
      </w:r>
      <w:r>
        <w:rPr>
          <w:rFonts w:hint="eastAsia" w:ascii="仿宋_GB2312" w:eastAsia="仿宋_GB2312"/>
          <w:color w:val="auto"/>
          <w:sz w:val="32"/>
          <w:szCs w:val="32"/>
          <w:highlight w:val="none"/>
          <w:lang w:val="en-US" w:eastAsia="zh-CN"/>
        </w:rPr>
        <w:t>公务用车油料费、公务用车保险车船税、公务用车维修费</w:t>
      </w:r>
      <w:r>
        <w:rPr>
          <w:rFonts w:hint="eastAsia" w:ascii="仿宋_GB2312" w:eastAsia="仿宋_GB2312"/>
          <w:color w:val="auto"/>
          <w:sz w:val="32"/>
          <w:szCs w:val="32"/>
          <w:highlight w:val="none"/>
          <w:lang w:val="zh-CN" w:eastAsia="zh-CN"/>
        </w:rPr>
        <w:t>。公务用车购置数0辆，公务用车保有量14辆。国有资产占用情况</w:t>
      </w:r>
      <w:r>
        <w:rPr>
          <w:rFonts w:hint="eastAsia" w:ascii="仿宋_GB2312" w:eastAsia="仿宋_GB2312"/>
          <w:color w:val="auto"/>
          <w:sz w:val="32"/>
          <w:szCs w:val="32"/>
          <w:highlight w:val="none"/>
          <w:lang w:val="en-US" w:eastAsia="zh-CN"/>
        </w:rPr>
        <w:t>中固定资产车辆</w:t>
      </w:r>
      <w:r>
        <w:rPr>
          <w:rFonts w:hint="eastAsia" w:ascii="仿宋_GB2312" w:eastAsia="仿宋_GB2312"/>
          <w:color w:val="auto"/>
          <w:sz w:val="32"/>
          <w:szCs w:val="32"/>
          <w:highlight w:val="none"/>
          <w:lang w:val="zh-CN" w:eastAsia="zh-CN"/>
        </w:rPr>
        <w:t>14辆，</w:t>
      </w:r>
      <w:r>
        <w:rPr>
          <w:rFonts w:hint="eastAsia" w:ascii="仿宋_GB2312" w:eastAsia="仿宋_GB2312"/>
          <w:color w:val="auto"/>
          <w:sz w:val="32"/>
          <w:szCs w:val="32"/>
          <w:highlight w:val="none"/>
          <w:lang w:val="en-US" w:eastAsia="zh-CN"/>
        </w:rPr>
        <w:t>与</w:t>
      </w:r>
      <w:r>
        <w:rPr>
          <w:rFonts w:hint="eastAsia" w:ascii="仿宋_GB2312" w:eastAsia="仿宋_GB2312"/>
          <w:color w:val="auto"/>
          <w:sz w:val="32"/>
          <w:szCs w:val="32"/>
          <w:highlight w:val="none"/>
          <w:lang w:val="zh-CN" w:eastAsia="zh-CN"/>
        </w:rPr>
        <w:t>公务用车</w:t>
      </w:r>
      <w:r>
        <w:rPr>
          <w:rFonts w:hint="eastAsia" w:ascii="仿宋_GB2312" w:eastAsia="仿宋_GB2312"/>
          <w:color w:val="auto"/>
          <w:sz w:val="32"/>
          <w:szCs w:val="32"/>
          <w:highlight w:val="none"/>
          <w:lang w:val="en-US" w:eastAsia="zh-CN"/>
        </w:rPr>
        <w:t>保有量差异</w:t>
      </w:r>
      <w:r>
        <w:rPr>
          <w:rFonts w:hint="eastAsia" w:ascii="仿宋_GB2312" w:eastAsia="仿宋_GB2312"/>
          <w:color w:val="auto"/>
          <w:sz w:val="32"/>
          <w:szCs w:val="32"/>
          <w:highlight w:val="none"/>
          <w:lang w:val="zh-CN" w:eastAsia="zh-CN"/>
        </w:rPr>
        <w:t>原因是：</w:t>
      </w:r>
      <w:r>
        <w:rPr>
          <w:rFonts w:hint="eastAsia" w:ascii="仿宋_GB2312" w:eastAsia="仿宋_GB2312"/>
          <w:color w:val="auto"/>
          <w:sz w:val="32"/>
          <w:szCs w:val="32"/>
          <w:highlight w:val="none"/>
          <w:lang w:val="en-US" w:eastAsia="zh-CN"/>
        </w:rPr>
        <w:t>无差异</w:t>
      </w:r>
      <w:r>
        <w:rPr>
          <w:rFonts w:hint="eastAsia" w:ascii="仿宋_GB2312" w:eastAsia="仿宋_GB2312"/>
          <w:color w:val="auto"/>
          <w:sz w:val="32"/>
          <w:szCs w:val="32"/>
          <w:highlight w:val="none"/>
          <w:lang w:val="zh-CN" w:eastAsia="zh-CN"/>
        </w:rPr>
        <w:t>。</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公务接待费2.94万元，开支内容包括</w:t>
      </w:r>
      <w:r>
        <w:rPr>
          <w:rFonts w:hint="eastAsia" w:ascii="仿宋_GB2312" w:eastAsia="仿宋_GB2312"/>
          <w:color w:val="auto"/>
          <w:sz w:val="32"/>
          <w:szCs w:val="32"/>
          <w:highlight w:val="none"/>
          <w:lang w:val="en-US" w:eastAsia="zh-CN"/>
        </w:rPr>
        <w:t>亚欧博览会及其兄弟省市民宗委调研餐费</w:t>
      </w:r>
      <w:r>
        <w:rPr>
          <w:rFonts w:hint="eastAsia" w:ascii="仿宋_GB2312" w:eastAsia="仿宋_GB2312"/>
          <w:color w:val="auto"/>
          <w:sz w:val="32"/>
          <w:szCs w:val="32"/>
          <w:highlight w:val="none"/>
          <w:lang w:val="zh-CN" w:eastAsia="zh-CN"/>
        </w:rPr>
        <w:t>。单位全年安排的国内公务接待15批次，439人次。</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val="zh-CN" w:eastAsia="zh-CN"/>
        </w:rPr>
      </w:pPr>
      <w:r>
        <w:rPr>
          <w:rFonts w:hint="eastAsia" w:ascii="仿宋_GB2312" w:eastAsia="仿宋_GB2312"/>
          <w:color w:val="auto"/>
          <w:sz w:val="32"/>
          <w:szCs w:val="32"/>
          <w:highlight w:val="none"/>
          <w:lang w:val="zh-CN" w:eastAsia="zh-CN"/>
        </w:rPr>
        <w:t>与</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预算相比</w:t>
      </w:r>
      <w:r>
        <w:rPr>
          <w:rFonts w:hint="eastAsia" w:ascii="仿宋_GB2312" w:eastAsia="仿宋_GB2312"/>
          <w:color w:val="auto"/>
          <w:sz w:val="32"/>
          <w:szCs w:val="32"/>
          <w:highlight w:val="none"/>
          <w:lang w:val="en-US" w:eastAsia="zh-CN"/>
        </w:rPr>
        <w:t>,</w:t>
      </w:r>
      <w:r>
        <w:rPr>
          <w:rFonts w:hint="eastAsia" w:ascii="仿宋_GB2312" w:eastAsia="仿宋_GB2312"/>
          <w:color w:val="auto"/>
          <w:sz w:val="32"/>
          <w:szCs w:val="32"/>
          <w:highlight w:val="none"/>
          <w:lang w:val="zh-CN" w:eastAsia="zh-CN"/>
        </w:rPr>
        <w:t>财政拨款“三公”经费支出</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预算数41.94万元，决算数41.94万元，预决算差异率0.00%，主要原因是：严格遵守“三公”经费只减不增原则，</w:t>
      </w:r>
      <w:r>
        <w:rPr>
          <w:rFonts w:hint="eastAsia" w:ascii="仿宋_GB2312" w:eastAsia="仿宋_GB2312"/>
          <w:color w:val="auto"/>
          <w:sz w:val="32"/>
          <w:szCs w:val="32"/>
          <w:highlight w:val="none"/>
          <w:lang w:val="en-US" w:eastAsia="zh-CN"/>
        </w:rPr>
        <w:t>按照全年预算</w:t>
      </w:r>
      <w:r>
        <w:rPr>
          <w:rFonts w:hint="eastAsia" w:ascii="仿宋_GB2312" w:eastAsia="仿宋_GB2312"/>
          <w:color w:val="auto"/>
          <w:sz w:val="32"/>
          <w:szCs w:val="32"/>
          <w:highlight w:val="none"/>
          <w:lang w:val="zh-CN" w:eastAsia="zh-CN"/>
        </w:rPr>
        <w:t>控制“</w:t>
      </w:r>
      <w:r>
        <w:rPr>
          <w:rFonts w:hint="eastAsia" w:ascii="仿宋_GB2312" w:eastAsia="仿宋_GB2312"/>
          <w:color w:val="auto"/>
          <w:sz w:val="32"/>
          <w:szCs w:val="32"/>
          <w:highlight w:val="none"/>
          <w:lang w:val="en-US" w:eastAsia="zh-CN"/>
        </w:rPr>
        <w:t>三公”经费支出</w:t>
      </w:r>
      <w:r>
        <w:rPr>
          <w:rFonts w:hint="eastAsia" w:ascii="仿宋_GB2312" w:eastAsia="仿宋_GB2312"/>
          <w:color w:val="auto"/>
          <w:sz w:val="32"/>
          <w:szCs w:val="32"/>
          <w:highlight w:val="none"/>
          <w:lang w:val="zh-CN" w:eastAsia="zh-CN"/>
        </w:rPr>
        <w:t>。其中：因公出国（境）费</w:t>
      </w:r>
      <w:r>
        <w:rPr>
          <w:rFonts w:hint="eastAsia" w:ascii="仿宋_GB2312" w:eastAsia="仿宋_GB2312"/>
          <w:color w:val="auto"/>
          <w:sz w:val="32"/>
          <w:szCs w:val="32"/>
          <w:highlight w:val="none"/>
          <w:lang w:val="en-US" w:eastAsia="zh-CN"/>
        </w:rPr>
        <w:t>全年预算数</w:t>
      </w:r>
      <w:r>
        <w:rPr>
          <w:rFonts w:hint="eastAsia" w:ascii="仿宋_GB2312" w:eastAsia="仿宋_GB2312"/>
          <w:color w:val="auto"/>
          <w:sz w:val="32"/>
          <w:szCs w:val="32"/>
          <w:highlight w:val="none"/>
          <w:lang w:val="zh-CN" w:eastAsia="zh-CN"/>
        </w:rPr>
        <w:t>0.00万元，决算数0.00万元，预决算差异率0.00%，主要原因是：</w:t>
      </w:r>
      <w:r>
        <w:rPr>
          <w:rFonts w:hint="eastAsia" w:ascii="仿宋_GB2312" w:eastAsia="仿宋_GB2312"/>
          <w:color w:val="auto"/>
          <w:sz w:val="32"/>
          <w:szCs w:val="32"/>
          <w:highlight w:val="none"/>
          <w:lang w:val="en-US" w:eastAsia="zh-CN"/>
        </w:rPr>
        <w:t>当年无</w:t>
      </w:r>
      <w:r>
        <w:rPr>
          <w:rFonts w:hint="eastAsia" w:ascii="仿宋_GB2312" w:eastAsia="仿宋_GB2312"/>
          <w:color w:val="auto"/>
          <w:sz w:val="32"/>
          <w:szCs w:val="32"/>
          <w:highlight w:val="none"/>
          <w:lang w:val="zh-CN" w:eastAsia="zh-CN"/>
        </w:rPr>
        <w:t>因公出国（境）费；公务用车购置费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预算数0.00万元，决算数0.00万元，预决算差异率0.00%，主要原因是：</w:t>
      </w:r>
      <w:r>
        <w:rPr>
          <w:rFonts w:hint="eastAsia" w:ascii="仿宋_GB2312" w:eastAsia="仿宋_GB2312"/>
          <w:color w:val="auto"/>
          <w:sz w:val="32"/>
          <w:szCs w:val="32"/>
          <w:highlight w:val="none"/>
          <w:lang w:val="en-US" w:eastAsia="zh-CN"/>
        </w:rPr>
        <w:t>当年无</w:t>
      </w:r>
      <w:r>
        <w:rPr>
          <w:rFonts w:hint="eastAsia" w:ascii="仿宋_GB2312" w:eastAsia="仿宋_GB2312"/>
          <w:color w:val="auto"/>
          <w:sz w:val="32"/>
          <w:szCs w:val="32"/>
          <w:highlight w:val="none"/>
          <w:lang w:val="zh-CN" w:eastAsia="zh-CN"/>
        </w:rPr>
        <w:t>公务用车购置费；公务用车运行费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预算数39.00万元，决算数39.00万元，预决算差异率0.00%，主要原因是：严格遵守“三公”经费只减不增原则，</w:t>
      </w:r>
      <w:r>
        <w:rPr>
          <w:rFonts w:hint="eastAsia" w:ascii="仿宋_GB2312" w:eastAsia="仿宋_GB2312"/>
          <w:color w:val="auto"/>
          <w:sz w:val="32"/>
          <w:szCs w:val="32"/>
          <w:highlight w:val="none"/>
          <w:lang w:val="en-US" w:eastAsia="zh-CN"/>
        </w:rPr>
        <w:t>按照全年预算</w:t>
      </w:r>
      <w:r>
        <w:rPr>
          <w:rFonts w:hint="eastAsia" w:ascii="仿宋_GB2312" w:eastAsia="仿宋_GB2312"/>
          <w:color w:val="auto"/>
          <w:sz w:val="32"/>
          <w:szCs w:val="32"/>
          <w:highlight w:val="none"/>
          <w:lang w:val="zh-CN" w:eastAsia="zh-CN"/>
        </w:rPr>
        <w:t>控制</w:t>
      </w:r>
      <w:r>
        <w:rPr>
          <w:rFonts w:hint="eastAsia" w:ascii="仿宋_GB2312" w:eastAsia="仿宋_GB2312"/>
          <w:color w:val="auto"/>
          <w:sz w:val="32"/>
          <w:szCs w:val="32"/>
          <w:highlight w:val="none"/>
          <w:lang w:val="en-US" w:eastAsia="zh-CN"/>
        </w:rPr>
        <w:t>公务用车运行费支出</w:t>
      </w:r>
      <w:r>
        <w:rPr>
          <w:rFonts w:hint="eastAsia" w:ascii="仿宋_GB2312" w:eastAsia="仿宋_GB2312"/>
          <w:color w:val="auto"/>
          <w:sz w:val="32"/>
          <w:szCs w:val="32"/>
          <w:highlight w:val="none"/>
          <w:lang w:val="zh-CN" w:eastAsia="zh-CN"/>
        </w:rPr>
        <w:t>；公务接待费</w:t>
      </w:r>
      <w:r>
        <w:rPr>
          <w:rFonts w:hint="eastAsia" w:ascii="仿宋_GB2312" w:eastAsia="仿宋_GB2312"/>
          <w:color w:val="auto"/>
          <w:sz w:val="32"/>
          <w:szCs w:val="32"/>
          <w:highlight w:val="none"/>
          <w:lang w:val="en-US" w:eastAsia="zh-CN"/>
        </w:rPr>
        <w:t>全年</w:t>
      </w:r>
      <w:r>
        <w:rPr>
          <w:rFonts w:hint="eastAsia" w:ascii="仿宋_GB2312" w:eastAsia="仿宋_GB2312"/>
          <w:color w:val="auto"/>
          <w:sz w:val="32"/>
          <w:szCs w:val="32"/>
          <w:highlight w:val="none"/>
          <w:lang w:val="zh-CN" w:eastAsia="zh-CN"/>
        </w:rPr>
        <w:t>预算数2.94万元，决算数2.94万元，预决算差异率0.00%，主要原因是：严格遵守“三公”经费只减不增原则，</w:t>
      </w:r>
      <w:r>
        <w:rPr>
          <w:rFonts w:hint="eastAsia" w:ascii="仿宋_GB2312" w:eastAsia="仿宋_GB2312"/>
          <w:color w:val="auto"/>
          <w:sz w:val="32"/>
          <w:szCs w:val="32"/>
          <w:highlight w:val="none"/>
          <w:lang w:val="en-US" w:eastAsia="zh-CN"/>
        </w:rPr>
        <w:t>按照全年预算</w:t>
      </w:r>
      <w:r>
        <w:rPr>
          <w:rFonts w:hint="eastAsia" w:ascii="仿宋_GB2312" w:eastAsia="仿宋_GB2312"/>
          <w:color w:val="auto"/>
          <w:sz w:val="32"/>
          <w:szCs w:val="32"/>
          <w:highlight w:val="none"/>
          <w:lang w:val="zh-CN" w:eastAsia="zh-CN"/>
        </w:rPr>
        <w:t>控制</w:t>
      </w:r>
      <w:r>
        <w:rPr>
          <w:rFonts w:hint="eastAsia" w:ascii="仿宋_GB2312" w:eastAsia="仿宋_GB2312"/>
          <w:color w:val="auto"/>
          <w:sz w:val="32"/>
          <w:szCs w:val="32"/>
          <w:highlight w:val="none"/>
          <w:lang w:val="en-US" w:eastAsia="zh-CN"/>
        </w:rPr>
        <w:t>公务接待费支出</w:t>
      </w:r>
      <w:r>
        <w:rPr>
          <w:rFonts w:hint="eastAsia" w:ascii="仿宋_GB2312" w:eastAsia="仿宋_GB2312"/>
          <w:color w:val="auto"/>
          <w:sz w:val="32"/>
          <w:szCs w:val="32"/>
          <w:highlight w:val="none"/>
          <w:lang w:val="zh-CN"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18" w:name="_Toc7927"/>
      <w:bookmarkStart w:id="19" w:name="_Toc5810"/>
      <w:r>
        <w:rPr>
          <w:rFonts w:hint="eastAsia" w:ascii="黑体" w:hAnsi="黑体" w:eastAsia="黑体" w:cs="宋体"/>
          <w:bCs/>
          <w:color w:val="auto"/>
          <w:kern w:val="0"/>
          <w:sz w:val="32"/>
          <w:szCs w:val="32"/>
          <w:highlight w:val="none"/>
          <w:lang w:val="en-US" w:eastAsia="zh-CN"/>
        </w:rPr>
        <w:t>八</w:t>
      </w:r>
      <w:r>
        <w:rPr>
          <w:rFonts w:hint="eastAsia" w:ascii="黑体" w:hAnsi="黑体" w:eastAsia="黑体" w:cs="宋体"/>
          <w:bCs/>
          <w:color w:val="auto"/>
          <w:kern w:val="0"/>
          <w:sz w:val="32"/>
          <w:szCs w:val="32"/>
          <w:highlight w:val="none"/>
          <w:lang w:eastAsia="zh-CN"/>
        </w:rPr>
        <w:t>、政府性基金预算财政拨款收入支出决算情况说明</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本年度无政府性基金预算财政拨款收入、支出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政府性基金预算财政拨款收入支出决算表为空表。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val="en-US" w:eastAsia="zh-CN"/>
        </w:rPr>
        <w:t>九</w:t>
      </w:r>
      <w:r>
        <w:rPr>
          <w:rFonts w:hint="eastAsia" w:ascii="黑体" w:hAnsi="黑体" w:eastAsia="黑体" w:cs="宋体"/>
          <w:bCs/>
          <w:color w:val="auto"/>
          <w:kern w:val="0"/>
          <w:sz w:val="32"/>
          <w:szCs w:val="32"/>
          <w:highlight w:val="none"/>
          <w:lang w:eastAsia="zh-CN"/>
        </w:rPr>
        <w:t>、国有资本经营预算财政拨款收入支出决算情况说明</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本年度无国有资本经营预算财政拨款收入、支出</w:t>
      </w:r>
      <w:r>
        <w:rPr>
          <w:rFonts w:hint="eastAsia" w:ascii="仿宋_GB2312" w:eastAsia="仿宋_GB2312"/>
          <w:color w:val="auto"/>
          <w:sz w:val="32"/>
          <w:szCs w:val="32"/>
          <w:highlight w:val="none"/>
          <w:lang w:val="en-US" w:eastAsia="zh-CN"/>
        </w:rPr>
        <w:t>及结转和结余</w:t>
      </w:r>
      <w:r>
        <w:rPr>
          <w:rFonts w:hint="eastAsia" w:ascii="仿宋_GB2312" w:eastAsia="仿宋_GB2312"/>
          <w:color w:val="auto"/>
          <w:sz w:val="32"/>
          <w:szCs w:val="32"/>
          <w:highlight w:val="none"/>
          <w:lang w:eastAsia="zh-CN"/>
        </w:rPr>
        <w:t>，国有资本经营</w:t>
      </w:r>
      <w:r>
        <w:rPr>
          <w:rFonts w:hint="eastAsia" w:ascii="仿宋_GB2312" w:eastAsia="仿宋_GB2312"/>
          <w:color w:val="auto"/>
          <w:sz w:val="32"/>
          <w:szCs w:val="32"/>
          <w:highlight w:val="none"/>
        </w:rPr>
        <w:t>预算财政拨款收入支出决算表为空表。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0" w:name="_Toc7314"/>
      <w:bookmarkStart w:id="21" w:name="_Toc1235"/>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rPr>
        <w:t>、其他重要事项的情况</w:t>
      </w:r>
      <w:r>
        <w:rPr>
          <w:rFonts w:hint="eastAsia" w:ascii="黑体" w:hAnsi="黑体" w:eastAsia="黑体" w:cs="宋体"/>
          <w:bCs/>
          <w:color w:val="auto"/>
          <w:kern w:val="0"/>
          <w:sz w:val="32"/>
          <w:szCs w:val="32"/>
          <w:highlight w:val="none"/>
          <w:lang w:eastAsia="zh-CN"/>
        </w:rPr>
        <w:t>说明</w:t>
      </w:r>
      <w:bookmarkEnd w:id="20"/>
      <w:bookmarkEnd w:id="2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2"/>
        <w:rPr>
          <w:rFonts w:hint="eastAsia" w:ascii="黑体" w:hAnsi="黑体" w:eastAsia="黑体"/>
          <w:color w:val="auto"/>
          <w:sz w:val="32"/>
          <w:szCs w:val="32"/>
          <w:highlight w:val="none"/>
        </w:rPr>
      </w:pPr>
      <w:bookmarkStart w:id="22" w:name="_Toc14519"/>
      <w:bookmarkStart w:id="23" w:name="_Toc13105"/>
      <w:r>
        <w:rPr>
          <w:rFonts w:hint="eastAsia" w:ascii="黑体" w:hAnsi="黑体" w:eastAsia="黑体"/>
          <w:color w:val="auto"/>
          <w:sz w:val="32"/>
          <w:szCs w:val="32"/>
          <w:highlight w:val="none"/>
          <w:lang w:eastAsia="zh-CN"/>
        </w:rPr>
        <w:t>（一）</w:t>
      </w:r>
      <w:r>
        <w:rPr>
          <w:rFonts w:hint="eastAsia" w:ascii="黑体" w:hAnsi="黑体" w:eastAsia="黑体"/>
          <w:color w:val="auto"/>
          <w:sz w:val="32"/>
          <w:szCs w:val="32"/>
          <w:highlight w:val="none"/>
        </w:rPr>
        <w:t>机关运行经费支出情况</w:t>
      </w:r>
      <w:bookmarkEnd w:id="22"/>
      <w:bookmarkEnd w:id="2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bookmarkStart w:id="24" w:name="_Toc227"/>
      <w:bookmarkStart w:id="25" w:name="_Toc26704"/>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en-US" w:eastAsia="zh-CN"/>
        </w:rPr>
        <w:t>新疆维吾尔自治区民族事务委员会（宗教事务局）（行政单位和参照公务员法管理事业单位）机关运行经费支出363.42万元，</w:t>
      </w:r>
      <w:r>
        <w:rPr>
          <w:rFonts w:hint="eastAsia" w:ascii="Times New Roman" w:hAnsi="Times New Roman" w:eastAsia="仿宋_GB2312" w:cs="Times New Roman"/>
          <w:color w:val="auto"/>
          <w:sz w:val="32"/>
          <w:szCs w:val="32"/>
          <w:highlight w:val="none"/>
          <w:lang w:val="zh-CN" w:eastAsia="zh-CN"/>
        </w:rPr>
        <w:t>比上年增加17.22万元，增长4.97%，主要原因是：</w:t>
      </w:r>
      <w:r>
        <w:rPr>
          <w:rFonts w:hint="eastAsia" w:eastAsia="仿宋_GB2312" w:cs="Times New Roman"/>
          <w:color w:val="auto"/>
          <w:sz w:val="32"/>
          <w:szCs w:val="32"/>
          <w:highlight w:val="none"/>
          <w:lang w:val="en-US" w:eastAsia="zh-CN"/>
        </w:rPr>
        <w:t>人员增加，机关运行经费增加</w:t>
      </w:r>
      <w:r>
        <w:rPr>
          <w:rFonts w:hint="eastAsia" w:ascii="Times New Roman" w:hAnsi="Times New Roman" w:eastAsia="仿宋_GB2312" w:cs="Times New Roman"/>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r>
        <w:rPr>
          <w:rFonts w:hint="eastAsia" w:ascii="Times New Roman" w:hAnsi="Times New Roman" w:eastAsia="黑体" w:cs="Times New Roman"/>
          <w:color w:val="auto"/>
          <w:sz w:val="32"/>
          <w:szCs w:val="30"/>
          <w:highlight w:val="none"/>
          <w:lang w:val="zh-CN" w:eastAsia="zh-CN"/>
        </w:rPr>
        <w:t>（二）政府采购情况</w:t>
      </w:r>
      <w:bookmarkEnd w:id="24"/>
      <w:bookmarkEnd w:id="2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rPr>
      </w:pPr>
      <w:r>
        <w:rPr>
          <w:rFonts w:hint="eastAsia" w:ascii="Times New Roman" w:hAnsi="Times New Roman" w:eastAsia="仿宋_GB2312" w:cs="Times New Roman"/>
          <w:color w:val="auto"/>
          <w:sz w:val="32"/>
          <w:szCs w:val="32"/>
          <w:highlight w:val="none"/>
          <w:lang w:val="zh-CN" w:eastAsia="zh-CN"/>
        </w:rPr>
        <w:t>2023年度</w:t>
      </w:r>
      <w:r>
        <w:rPr>
          <w:rFonts w:hint="eastAsia" w:ascii="Times New Roman" w:hAnsi="Times New Roman" w:eastAsia="仿宋_GB2312" w:cs="Times New Roman"/>
          <w:color w:val="auto"/>
          <w:sz w:val="32"/>
          <w:szCs w:val="32"/>
          <w:highlight w:val="none"/>
          <w:lang w:val="zh-CN"/>
        </w:rPr>
        <w:t>政府采购支出总额</w:t>
      </w:r>
      <w:r>
        <w:rPr>
          <w:rFonts w:hint="eastAsia" w:ascii="Times New Roman" w:hAnsi="Times New Roman" w:eastAsia="仿宋_GB2312" w:cs="Times New Roman"/>
          <w:color w:val="auto"/>
          <w:sz w:val="32"/>
          <w:szCs w:val="32"/>
          <w:highlight w:val="none"/>
          <w:lang w:val="zh-CN" w:eastAsia="zh-CN"/>
        </w:rPr>
        <w:t>246.40万元</w:t>
      </w:r>
      <w:r>
        <w:rPr>
          <w:rFonts w:hint="eastAsia" w:ascii="Times New Roman" w:hAnsi="Times New Roman" w:eastAsia="仿宋_GB2312" w:cs="Times New Roman"/>
          <w:color w:val="auto"/>
          <w:sz w:val="32"/>
          <w:szCs w:val="32"/>
          <w:highlight w:val="none"/>
          <w:lang w:val="zh-CN"/>
        </w:rPr>
        <w:t>，</w:t>
      </w:r>
      <w:r>
        <w:rPr>
          <w:rFonts w:hint="eastAsia" w:ascii="Times New Roman" w:hAnsi="Times New Roman" w:eastAsia="仿宋_GB2312" w:cs="Times New Roman"/>
          <w:color w:val="auto"/>
          <w:sz w:val="32"/>
          <w:szCs w:val="32"/>
          <w:highlight w:val="none"/>
          <w:lang w:val="zh-CN" w:eastAsia="zh-CN"/>
        </w:rPr>
        <w:t>其中：政府采购货物支出53.72万元、政府采购工程支出0.00万元、政府采购服务支出192.68万元。</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en-US" w:eastAsia="zh-CN"/>
        </w:rPr>
      </w:pPr>
      <w:r>
        <w:rPr>
          <w:rFonts w:hint="eastAsia" w:ascii="Times New Roman" w:hAnsi="Times New Roman" w:eastAsia="仿宋_GB2312" w:cs="Times New Roman"/>
          <w:color w:val="auto"/>
          <w:sz w:val="32"/>
          <w:szCs w:val="32"/>
          <w:highlight w:val="none"/>
          <w:lang w:val="zh-CN" w:eastAsia="zh-CN"/>
        </w:rPr>
        <w:t>授予中小企业合同金额246.40万元，占政府采购支出总额的100.00</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zh-CN" w:eastAsia="zh-CN"/>
        </w:rPr>
        <w:t>，其中：授予小微企业合同金额238.93万元，占政府采购支出总额的96.97</w:t>
      </w:r>
      <w:r>
        <w:rPr>
          <w:rFonts w:hint="default"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黑体" w:cs="Times New Roman"/>
          <w:color w:val="auto"/>
          <w:sz w:val="32"/>
          <w:szCs w:val="30"/>
          <w:highlight w:val="none"/>
          <w:lang w:val="zh-CN" w:eastAsia="zh-CN"/>
        </w:rPr>
      </w:pPr>
      <w:bookmarkStart w:id="26" w:name="_Toc4591"/>
      <w:bookmarkStart w:id="27" w:name="_Toc8391"/>
      <w:r>
        <w:rPr>
          <w:rFonts w:hint="eastAsia" w:ascii="Times New Roman" w:hAnsi="Times New Roman" w:eastAsia="黑体" w:cs="Times New Roman"/>
          <w:color w:val="auto"/>
          <w:sz w:val="32"/>
          <w:szCs w:val="30"/>
          <w:highlight w:val="none"/>
          <w:lang w:val="zh-CN" w:eastAsia="zh-CN"/>
        </w:rPr>
        <w:t>（三）国有资产占用情况说明</w:t>
      </w:r>
      <w:bookmarkEnd w:id="26"/>
      <w:bookmarkEnd w:id="2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Times New Roman" w:hAnsi="Times New Roman" w:eastAsia="仿宋_GB2312" w:cs="Times New Roman"/>
          <w:color w:val="auto"/>
          <w:sz w:val="32"/>
          <w:szCs w:val="32"/>
          <w:highlight w:val="none"/>
          <w:lang w:val="zh-CN" w:eastAsia="zh-CN"/>
        </w:rPr>
      </w:pPr>
      <w:r>
        <w:rPr>
          <w:rFonts w:hint="eastAsia" w:ascii="Times New Roman" w:hAnsi="Times New Roman" w:eastAsia="仿宋_GB2312" w:cs="Times New Roman"/>
          <w:color w:val="auto"/>
          <w:sz w:val="32"/>
          <w:szCs w:val="32"/>
          <w:highlight w:val="none"/>
          <w:lang w:val="en-US" w:eastAsia="zh-CN"/>
        </w:rPr>
        <w:t>截至2023</w:t>
      </w:r>
      <w:r>
        <w:rPr>
          <w:rFonts w:hint="eastAsia" w:ascii="Times New Roman" w:hAnsi="Times New Roman" w:eastAsia="仿宋_GB2312" w:cs="Times New Roman"/>
          <w:color w:val="auto"/>
          <w:sz w:val="32"/>
          <w:szCs w:val="32"/>
          <w:highlight w:val="none"/>
          <w:lang w:val="zh-CN" w:eastAsia="zh-CN"/>
        </w:rPr>
        <w:t>年</w:t>
      </w:r>
      <w:r>
        <w:rPr>
          <w:rFonts w:hint="eastAsia" w:ascii="Times New Roman" w:hAnsi="Times New Roman" w:eastAsia="仿宋_GB2312" w:cs="Times New Roman"/>
          <w:color w:val="auto"/>
          <w:sz w:val="32"/>
          <w:szCs w:val="32"/>
          <w:highlight w:val="none"/>
          <w:lang w:val="en-US" w:eastAsia="zh-CN"/>
        </w:rPr>
        <w:t>12月31日</w:t>
      </w:r>
      <w:r>
        <w:rPr>
          <w:rFonts w:hint="eastAsia" w:ascii="Times New Roman" w:hAnsi="Times New Roman" w:eastAsia="仿宋_GB2312" w:cs="Times New Roman"/>
          <w:color w:val="auto"/>
          <w:sz w:val="32"/>
          <w:szCs w:val="32"/>
          <w:highlight w:val="none"/>
          <w:lang w:val="zh-CN" w:eastAsia="zh-CN"/>
        </w:rPr>
        <w:t>，</w:t>
      </w:r>
      <w:r>
        <w:rPr>
          <w:rFonts w:hint="eastAsia" w:ascii="Times New Roman" w:hAnsi="Times New Roman" w:eastAsia="仿宋_GB2312" w:cs="Times New Roman"/>
          <w:color w:val="auto"/>
          <w:sz w:val="32"/>
          <w:szCs w:val="32"/>
          <w:highlight w:val="none"/>
          <w:lang w:val="en-US" w:eastAsia="zh-CN"/>
        </w:rPr>
        <w:t>固定资产原值</w:t>
      </w:r>
      <w:r>
        <w:rPr>
          <w:rFonts w:hint="eastAsia" w:ascii="Times New Roman" w:hAnsi="Times New Roman" w:eastAsia="仿宋_GB2312" w:cs="Times New Roman"/>
          <w:color w:val="auto"/>
          <w:sz w:val="32"/>
          <w:szCs w:val="32"/>
          <w:highlight w:val="none"/>
          <w:lang w:val="zh-CN" w:eastAsia="zh-CN"/>
        </w:rPr>
        <w:t>9,596.67</w:t>
      </w:r>
      <w:r>
        <w:rPr>
          <w:rFonts w:hint="eastAsia" w:ascii="Times New Roman" w:hAnsi="Times New Roman" w:eastAsia="仿宋_GB2312" w:cs="Times New Roman"/>
          <w:color w:val="auto"/>
          <w:sz w:val="32"/>
          <w:szCs w:val="32"/>
          <w:highlight w:val="none"/>
          <w:lang w:val="en-US" w:eastAsia="zh-CN"/>
        </w:rPr>
        <w:t>万元，房</w:t>
      </w:r>
      <w:r>
        <w:rPr>
          <w:rFonts w:hint="eastAsia" w:ascii="Times New Roman" w:hAnsi="Times New Roman" w:eastAsia="仿宋_GB2312" w:cs="Times New Roman"/>
          <w:color w:val="auto"/>
          <w:sz w:val="32"/>
          <w:szCs w:val="32"/>
          <w:highlight w:val="none"/>
          <w:lang w:val="zh-CN" w:eastAsia="zh-CN"/>
        </w:rPr>
        <w:t>屋23,395.63平方米，价值7,251.99万元。车辆14辆，价值389.17万元，其中：副部（省）级及以上领导用车0辆、主要</w:t>
      </w:r>
      <w:r>
        <w:rPr>
          <w:rFonts w:hint="eastAsia" w:ascii="Times New Roman" w:hAnsi="Times New Roman" w:eastAsia="仿宋_GB2312" w:cs="Times New Roman"/>
          <w:color w:val="auto"/>
          <w:sz w:val="32"/>
          <w:szCs w:val="32"/>
          <w:highlight w:val="none"/>
          <w:lang w:val="en-US" w:eastAsia="zh-CN"/>
        </w:rPr>
        <w:t>负责人</w:t>
      </w:r>
      <w:r>
        <w:rPr>
          <w:rFonts w:hint="eastAsia" w:ascii="Times New Roman" w:hAnsi="Times New Roman" w:eastAsia="仿宋_GB2312" w:cs="Times New Roman"/>
          <w:color w:val="auto"/>
          <w:sz w:val="32"/>
          <w:szCs w:val="32"/>
          <w:highlight w:val="none"/>
          <w:lang w:val="zh-CN" w:eastAsia="zh-CN"/>
        </w:rPr>
        <w:t>用车0辆、机要通信用车0辆、应急保障用车0辆、执法执勤用车0辆、特种专业技术用车0辆、离退休干部</w:t>
      </w:r>
      <w:r>
        <w:rPr>
          <w:rFonts w:hint="eastAsia" w:ascii="Times New Roman" w:hAnsi="Times New Roman" w:eastAsia="仿宋_GB2312" w:cs="Times New Roman"/>
          <w:color w:val="auto"/>
          <w:sz w:val="32"/>
          <w:szCs w:val="32"/>
          <w:highlight w:val="none"/>
          <w:lang w:val="en-US" w:eastAsia="zh-CN"/>
        </w:rPr>
        <w:t>服务</w:t>
      </w:r>
      <w:r>
        <w:rPr>
          <w:rFonts w:hint="eastAsia" w:ascii="Times New Roman" w:hAnsi="Times New Roman" w:eastAsia="仿宋_GB2312" w:cs="Times New Roman"/>
          <w:color w:val="auto"/>
          <w:sz w:val="32"/>
          <w:szCs w:val="32"/>
          <w:highlight w:val="none"/>
          <w:lang w:val="zh-CN" w:eastAsia="zh-CN"/>
        </w:rPr>
        <w:t>用车0辆、其他用车14辆，其他用车主要是：</w:t>
      </w:r>
      <w:r>
        <w:rPr>
          <w:rFonts w:hint="eastAsia" w:eastAsia="仿宋_GB2312" w:cs="Times New Roman"/>
          <w:color w:val="auto"/>
          <w:sz w:val="32"/>
          <w:szCs w:val="32"/>
          <w:highlight w:val="none"/>
          <w:lang w:val="en-US" w:eastAsia="zh-CN"/>
        </w:rPr>
        <w:t>机关公务用车14辆</w:t>
      </w:r>
      <w:r>
        <w:rPr>
          <w:rFonts w:hint="eastAsia" w:ascii="Times New Roman" w:hAnsi="Times New Roman" w:eastAsia="仿宋_GB2312" w:cs="Times New Roman"/>
          <w:color w:val="auto"/>
          <w:sz w:val="32"/>
          <w:szCs w:val="32"/>
          <w:highlight w:val="none"/>
          <w:lang w:val="zh-CN" w:eastAsia="zh-CN"/>
        </w:rPr>
        <w:t>；单价100万元（含）以上设备（不含车辆）1</w:t>
      </w:r>
      <w:r>
        <w:rPr>
          <w:rFonts w:hint="eastAsia" w:ascii="Times New Roman" w:hAnsi="Times New Roman" w:eastAsia="仿宋_GB2312" w:cs="Times New Roman"/>
          <w:color w:val="auto"/>
          <w:sz w:val="32"/>
          <w:szCs w:val="32"/>
          <w:highlight w:val="none"/>
          <w:lang w:val="en-US" w:eastAsia="zh-CN"/>
        </w:rPr>
        <w:t>台（</w:t>
      </w:r>
      <w:r>
        <w:rPr>
          <w:rFonts w:hint="eastAsia" w:ascii="Times New Roman" w:hAnsi="Times New Roman" w:eastAsia="仿宋_GB2312" w:cs="Times New Roman"/>
          <w:color w:val="auto"/>
          <w:sz w:val="32"/>
          <w:szCs w:val="32"/>
          <w:highlight w:val="none"/>
          <w:lang w:val="zh-CN" w:eastAsia="zh-CN"/>
        </w:rPr>
        <w:t>套）。</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outlineLvl w:val="1"/>
        <w:rPr>
          <w:rFonts w:hint="eastAsia" w:ascii="黑体" w:hAnsi="黑体" w:eastAsia="黑体" w:cs="宋体"/>
          <w:bCs/>
          <w:color w:val="auto"/>
          <w:kern w:val="0"/>
          <w:sz w:val="32"/>
          <w:szCs w:val="32"/>
          <w:highlight w:val="none"/>
          <w:lang w:eastAsia="zh-CN"/>
        </w:rPr>
      </w:pPr>
      <w:bookmarkStart w:id="28" w:name="_Toc435"/>
      <w:bookmarkStart w:id="29" w:name="_Toc11283"/>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一</w:t>
      </w:r>
      <w:r>
        <w:rPr>
          <w:rFonts w:hint="eastAsia" w:ascii="黑体" w:hAnsi="黑体" w:eastAsia="黑体" w:cs="宋体"/>
          <w:bCs/>
          <w:color w:val="auto"/>
          <w:kern w:val="0"/>
          <w:sz w:val="32"/>
          <w:szCs w:val="32"/>
          <w:highlight w:val="none"/>
          <w:lang w:eastAsia="zh-CN"/>
        </w:rPr>
        <w:t>、预算绩效的情况说明</w:t>
      </w:r>
      <w:bookmarkEnd w:id="28"/>
      <w:bookmarkEnd w:id="29"/>
    </w:p>
    <w:p>
      <w:pPr>
        <w:ind w:firstLine="640" w:firstLineChars="200"/>
        <w:rPr>
          <w:rFonts w:ascii="仿宋_GB2312" w:eastAsia="仿宋_GB2312"/>
          <w:sz w:val="32"/>
          <w:szCs w:val="32"/>
        </w:rPr>
      </w:pPr>
      <w:r>
        <w:rPr>
          <w:rFonts w:hint="eastAsia" w:ascii="仿宋_GB2312" w:eastAsia="仿宋_GB2312"/>
          <w:color w:val="auto"/>
          <w:sz w:val="32"/>
          <w:szCs w:val="32"/>
          <w:highlight w:val="none"/>
          <w:lang w:eastAsia="zh-CN"/>
        </w:rPr>
        <w:t>根据预算绩效管理要求，我</w:t>
      </w:r>
      <w:r>
        <w:rPr>
          <w:rFonts w:hint="eastAsia" w:ascii="仿宋_GB2312" w:eastAsia="仿宋_GB2312"/>
          <w:color w:val="auto"/>
          <w:sz w:val="32"/>
          <w:szCs w:val="32"/>
          <w:highlight w:val="none"/>
          <w:lang w:val="en-US" w:eastAsia="zh-CN"/>
        </w:rPr>
        <w:t>单位</w:t>
      </w:r>
      <w:r>
        <w:rPr>
          <w:rFonts w:hint="eastAsia" w:ascii="仿宋_GB2312" w:eastAsia="仿宋_GB2312"/>
          <w:color w:val="auto"/>
          <w:sz w:val="32"/>
          <w:szCs w:val="32"/>
          <w:highlight w:val="none"/>
          <w:lang w:eastAsia="zh-CN"/>
        </w:rPr>
        <w:t>2023年度</w:t>
      </w:r>
      <w:r>
        <w:rPr>
          <w:rFonts w:hint="eastAsia" w:ascii="仿宋_GB2312" w:hAnsi="仿宋_GB2312" w:eastAsia="仿宋_GB2312" w:cs="仿宋_GB2312"/>
          <w:color w:val="auto"/>
          <w:kern w:val="0"/>
          <w:sz w:val="32"/>
          <w:szCs w:val="32"/>
          <w:highlight w:val="none"/>
        </w:rPr>
        <w:t>预算绩效管理整体</w:t>
      </w:r>
      <w:r>
        <w:rPr>
          <w:rFonts w:hint="eastAsia" w:ascii="仿宋_GB2312" w:hAnsi="仿宋_GB2312" w:eastAsia="仿宋_GB2312" w:cs="仿宋_GB2312"/>
          <w:color w:val="auto"/>
          <w:kern w:val="0"/>
          <w:sz w:val="32"/>
          <w:szCs w:val="32"/>
          <w:highlight w:val="none"/>
          <w:lang w:val="en-US" w:eastAsia="zh-CN"/>
        </w:rPr>
        <w:t>支出</w:t>
      </w:r>
      <w:r>
        <w:rPr>
          <w:rFonts w:hint="eastAsia" w:ascii="仿宋_GB2312" w:hAnsi="仿宋_GB2312" w:eastAsia="仿宋_GB2312" w:cs="仿宋_GB2312"/>
          <w:color w:val="auto"/>
          <w:kern w:val="0"/>
          <w:sz w:val="32"/>
          <w:szCs w:val="32"/>
          <w:highlight w:val="none"/>
        </w:rPr>
        <w:t>绩效自评表</w:t>
      </w:r>
      <w:r>
        <w:rPr>
          <w:rFonts w:hint="eastAsia" w:ascii="仿宋_GB2312" w:eastAsia="仿宋_GB2312"/>
          <w:color w:val="auto"/>
          <w:sz w:val="32"/>
          <w:szCs w:val="32"/>
          <w:highlight w:val="none"/>
          <w:lang w:val="en-US" w:eastAsia="zh-CN"/>
        </w:rPr>
        <w:t>0</w:t>
      </w:r>
      <w:r>
        <w:rPr>
          <w:rFonts w:hint="eastAsia" w:ascii="仿宋_GB2312" w:hAnsi="仿宋_GB2312" w:eastAsia="仿宋_GB2312" w:cs="仿宋_GB2312"/>
          <w:color w:val="auto"/>
          <w:kern w:val="0"/>
          <w:sz w:val="32"/>
          <w:szCs w:val="32"/>
          <w:highlight w:val="none"/>
          <w:lang w:val="en-US" w:eastAsia="zh-CN"/>
        </w:rPr>
        <w:t>个，全年</w:t>
      </w:r>
      <w:r>
        <w:rPr>
          <w:rFonts w:hint="eastAsia" w:ascii="仿宋_GB2312" w:eastAsia="仿宋_GB2312"/>
          <w:color w:val="auto"/>
          <w:sz w:val="32"/>
          <w:szCs w:val="32"/>
          <w:highlight w:val="none"/>
          <w:lang w:val="en-US" w:eastAsia="zh-CN"/>
        </w:rPr>
        <w:t>预算总额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实际执行总额</w:t>
      </w:r>
      <w:r>
        <w:rPr>
          <w:rFonts w:hint="eastAsia" w:ascii="仿宋_GB2312" w:eastAsia="仿宋_GB2312"/>
          <w:color w:val="auto"/>
          <w:spacing w:val="0"/>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我单位整体支出绩效自评表由主管部门编报并公开</w:t>
      </w:r>
      <w:r>
        <w:rPr>
          <w:rFonts w:hint="eastAsia" w:ascii="仿宋_GB2312" w:hAnsi="仿宋_GB2312" w:eastAsia="仿宋_GB2312" w:cs="仿宋_GB2312"/>
          <w:color w:val="auto"/>
          <w:kern w:val="0"/>
          <w:sz w:val="32"/>
          <w:szCs w:val="32"/>
          <w:highlight w:val="none"/>
          <w:lang w:val="en-US" w:eastAsia="zh-CN"/>
        </w:rPr>
        <w:t>；</w:t>
      </w:r>
      <w:r>
        <w:rPr>
          <w:rFonts w:hint="eastAsia" w:ascii="仿宋_GB2312" w:eastAsia="仿宋_GB2312"/>
          <w:color w:val="auto"/>
          <w:sz w:val="32"/>
          <w:szCs w:val="32"/>
          <w:highlight w:val="none"/>
          <w:lang w:eastAsia="zh-CN"/>
        </w:rPr>
        <w:t>预算绩效评价项目</w:t>
      </w:r>
      <w:r>
        <w:rPr>
          <w:rFonts w:hint="eastAsia" w:ascii="仿宋_GB2312" w:eastAsia="仿宋_GB2312"/>
          <w:color w:val="auto"/>
          <w:sz w:val="32"/>
          <w:szCs w:val="32"/>
          <w:highlight w:val="none"/>
          <w:lang w:val="en-US" w:eastAsia="zh-CN"/>
        </w:rPr>
        <w:t>10</w:t>
      </w:r>
      <w:r>
        <w:rPr>
          <w:rFonts w:hint="eastAsia" w:ascii="仿宋_GB2312" w:eastAsia="仿宋_GB2312"/>
          <w:color w:val="auto"/>
          <w:sz w:val="32"/>
          <w:szCs w:val="32"/>
          <w:highlight w:val="none"/>
          <w:lang w:eastAsia="zh-CN"/>
        </w:rPr>
        <w:t>个，</w:t>
      </w:r>
      <w:r>
        <w:rPr>
          <w:rFonts w:hint="eastAsia" w:ascii="仿宋_GB2312" w:eastAsia="仿宋_GB2312"/>
          <w:color w:val="auto"/>
          <w:sz w:val="32"/>
          <w:szCs w:val="32"/>
          <w:highlight w:val="none"/>
          <w:lang w:val="en-US" w:eastAsia="zh-CN"/>
        </w:rPr>
        <w:t>全年预算数1414.07</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全年执行数1406.26</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bookmarkStart w:id="48" w:name="_GoBack"/>
      <w:bookmarkEnd w:id="48"/>
      <w:r>
        <w:rPr>
          <w:rFonts w:hint="eastAsia" w:ascii="仿宋_GB2312" w:eastAsia="仿宋_GB2312"/>
          <w:color w:val="auto"/>
          <w:sz w:val="32"/>
          <w:szCs w:val="32"/>
          <w:highlight w:val="none"/>
          <w:lang w:eastAsia="zh-CN"/>
        </w:rPr>
        <w:t>预算绩效管理取得的成效：</w:t>
      </w:r>
      <w:r>
        <w:rPr>
          <w:rFonts w:ascii="仿宋_GB2312" w:eastAsia="仿宋_GB2312"/>
          <w:sz w:val="32"/>
          <w:szCs w:val="32"/>
        </w:rPr>
        <w:t>一是以民族团结进步宣传教育为载体，以民族团结进步创建工作为抓手，依法治理民族事务，民族团结进步事业稳步推进，全面贯彻党的宗教工作基本方针，坚持我国宗教中国化方向，坚持标本兼治，促进宗教领域和睦和谐</w:t>
      </w:r>
      <w:r>
        <w:rPr>
          <w:rFonts w:hint="eastAsia" w:ascii="仿宋_GB2312" w:eastAsia="仿宋_GB2312"/>
          <w:sz w:val="32"/>
          <w:szCs w:val="32"/>
          <w:lang w:eastAsia="zh-CN"/>
        </w:rPr>
        <w:t>。</w:t>
      </w:r>
      <w:r>
        <w:rPr>
          <w:rFonts w:ascii="仿宋_GB2312" w:eastAsia="仿宋_GB2312"/>
          <w:sz w:val="32"/>
          <w:szCs w:val="32"/>
        </w:rPr>
        <w:t>二是深入开展民族团结进步创建活动，做好清真食品管理工作。三是预算编制趋向合理、有效。细化预算管理，将预算绩效细化到各个业务处室，提高资金使用事前预算能力，大大提高预算绩效管理的可操作性；四是实现项目绩效监控全覆盖，通过绩效跟踪监控，发现单位预算执行过程中存在的问题，及时纠偏调整，保证财政资金安全、规范的有效使用</w:t>
      </w:r>
      <w:r>
        <w:rPr>
          <w:rFonts w:hint="eastAsia" w:ascii="仿宋_GB2312" w:eastAsia="仿宋_GB2312"/>
          <w:sz w:val="32"/>
          <w:szCs w:val="32"/>
        </w:rPr>
        <w:t>。</w:t>
      </w:r>
      <w:r>
        <w:rPr>
          <w:rFonts w:hint="eastAsia" w:ascii="仿宋_GB2312" w:eastAsia="仿宋_GB2312"/>
          <w:color w:val="auto"/>
          <w:sz w:val="32"/>
          <w:szCs w:val="32"/>
          <w:highlight w:val="none"/>
          <w:lang w:eastAsia="zh-CN"/>
        </w:rPr>
        <w:t>发现的问题及原因：</w:t>
      </w:r>
      <w:r>
        <w:rPr>
          <w:rFonts w:ascii="仿宋_GB2312" w:eastAsia="仿宋_GB2312"/>
          <w:sz w:val="32"/>
          <w:szCs w:val="32"/>
        </w:rPr>
        <w:t>一是财政专项资金使用率低，项目执行进度缓慢。二是资金使用和结算缓慢。培训经费未按年初工作计划按时实施，项目资金使用和结算较缓慢，未达到财政厅按月执行项目经费要求。财政专项资金使用跟踪管理工作还有待进一步加强。</w:t>
      </w:r>
      <w:r>
        <w:rPr>
          <w:rFonts w:hint="eastAsia" w:ascii="仿宋_GB2312" w:eastAsia="仿宋_GB2312"/>
          <w:sz w:val="32"/>
          <w:szCs w:val="32"/>
          <w:lang w:val="en-US" w:eastAsia="zh-CN"/>
        </w:rPr>
        <w:t>个别</w:t>
      </w:r>
      <w:r>
        <w:rPr>
          <w:rFonts w:ascii="仿宋_GB2312" w:eastAsia="仿宋_GB2312"/>
          <w:sz w:val="32"/>
          <w:szCs w:val="32"/>
        </w:rPr>
        <w:t>处室注重项目争取、轻项目实施管理的情况仍然存在。</w:t>
      </w:r>
      <w:r>
        <w:rPr>
          <w:rFonts w:hint="eastAsia" w:ascii="仿宋_GB2312" w:eastAsia="仿宋_GB2312"/>
          <w:color w:val="auto"/>
          <w:sz w:val="32"/>
          <w:szCs w:val="32"/>
          <w:highlight w:val="none"/>
          <w:lang w:eastAsia="zh-CN"/>
        </w:rPr>
        <w:t>下一步改进措施：</w:t>
      </w:r>
      <w:r>
        <w:rPr>
          <w:rFonts w:ascii="仿宋_GB2312" w:eastAsia="仿宋_GB2312"/>
          <w:sz w:val="32"/>
          <w:szCs w:val="32"/>
        </w:rPr>
        <w:t>一是积极引导处室</w:t>
      </w:r>
      <w:r>
        <w:rPr>
          <w:rFonts w:hint="eastAsia" w:ascii="仿宋_GB2312" w:eastAsia="仿宋_GB2312"/>
          <w:sz w:val="32"/>
          <w:szCs w:val="32"/>
          <w:lang w:eastAsia="zh-CN"/>
        </w:rPr>
        <w:t>（</w:t>
      </w:r>
      <w:r>
        <w:rPr>
          <w:rFonts w:hint="eastAsia" w:ascii="仿宋_GB2312" w:eastAsia="仿宋_GB2312"/>
          <w:sz w:val="32"/>
          <w:szCs w:val="32"/>
          <w:lang w:val="en-US" w:eastAsia="zh-CN"/>
        </w:rPr>
        <w:t>单位</w:t>
      </w:r>
      <w:r>
        <w:rPr>
          <w:rFonts w:hint="eastAsia" w:ascii="仿宋_GB2312" w:eastAsia="仿宋_GB2312"/>
          <w:sz w:val="32"/>
          <w:szCs w:val="32"/>
          <w:lang w:eastAsia="zh-CN"/>
        </w:rPr>
        <w:t>）</w:t>
      </w:r>
      <w:r>
        <w:rPr>
          <w:rFonts w:ascii="仿宋_GB2312" w:eastAsia="仿宋_GB2312"/>
          <w:sz w:val="32"/>
          <w:szCs w:val="32"/>
        </w:rPr>
        <w:t>增强绩效评价意识，提高项目绩效指标的科学性和可考核性，修正项目绩效目标。对项目绩效目标进一步细化、量化，形成相互间可独立考核、科学合理的项目绩效指标。二是建立健全预算绩效目标、绩效跟踪、绩效评价、结果应用和绩效问责的全过程的绩效管理制度体系</w:t>
      </w:r>
      <w:r>
        <w:rPr>
          <w:rFonts w:hint="eastAsia" w:ascii="仿宋_GB2312" w:eastAsia="仿宋_GB2312"/>
          <w:sz w:val="32"/>
          <w:szCs w:val="32"/>
          <w:lang w:eastAsia="zh-CN"/>
        </w:rPr>
        <w:t>，</w:t>
      </w:r>
      <w:r>
        <w:rPr>
          <w:rFonts w:ascii="仿宋_GB2312" w:eastAsia="仿宋_GB2312"/>
          <w:sz w:val="32"/>
          <w:szCs w:val="32"/>
        </w:rPr>
        <w:t>严格落实绩效问责机制</w:t>
      </w:r>
      <w:r>
        <w:rPr>
          <w:rFonts w:hint="eastAsia" w:ascii="仿宋_GB2312" w:eastAsia="仿宋_GB2312"/>
          <w:sz w:val="32"/>
          <w:szCs w:val="32"/>
        </w:rPr>
        <w:t>。</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lang w:eastAsia="zh-CN"/>
        </w:rPr>
        <w:t>具体</w:t>
      </w:r>
      <w:r>
        <w:rPr>
          <w:rFonts w:hint="eastAsia" w:ascii="仿宋_GB2312" w:eastAsia="仿宋_GB2312"/>
          <w:color w:val="auto"/>
          <w:sz w:val="32"/>
          <w:szCs w:val="32"/>
          <w:highlight w:val="none"/>
        </w:rPr>
        <w:t>项目自评情况附绩效自评表。</w:t>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70500" cy="6742430"/>
            <wp:effectExtent l="0" t="0" r="6350" b="12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5270500" cy="6742430"/>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2880" cy="3584575"/>
            <wp:effectExtent l="0" t="0" r="13970" b="158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62880" cy="358457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9230" cy="4293235"/>
            <wp:effectExtent l="0" t="0" r="7620" b="1206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5269230" cy="429323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70500" cy="3728720"/>
            <wp:effectExtent l="0" t="0" r="6350" b="508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5270500" cy="3728720"/>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6690" cy="3909695"/>
            <wp:effectExtent l="0" t="0" r="10160" b="1460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9"/>
                    <a:stretch>
                      <a:fillRect/>
                    </a:stretch>
                  </pic:blipFill>
                  <pic:spPr>
                    <a:xfrm>
                      <a:off x="0" y="0"/>
                      <a:ext cx="5266690" cy="390969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4785" cy="5231765"/>
            <wp:effectExtent l="0" t="0" r="12065" b="698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5264785" cy="523176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pPr>
    </w:p>
    <w:p>
      <w:pPr>
        <w:keepNext w:val="0"/>
        <w:keepLines w:val="0"/>
        <w:pageBreakBefore w:val="0"/>
        <w:widowControl w:val="0"/>
        <w:kinsoku/>
        <w:wordWrap/>
        <w:overflowPunct/>
        <w:topLinePunct w:val="0"/>
        <w:bidi w:val="0"/>
        <w:adjustRightInd/>
        <w:snapToGrid/>
        <w:spacing w:line="240" w:lineRule="auto"/>
        <w:jc w:val="left"/>
        <w:textAlignment w:val="auto"/>
      </w:pPr>
      <w:r>
        <w:drawing>
          <wp:inline distT="0" distB="0" distL="114300" distR="114300">
            <wp:extent cx="5264785" cy="3047365"/>
            <wp:effectExtent l="0" t="0" r="12065" b="63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264785" cy="3047365"/>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jc w:val="left"/>
        <w:textAlignment w:val="auto"/>
        <w:rPr>
          <w:rFonts w:hint="eastAsia"/>
        </w:rPr>
      </w:pPr>
      <w:r>
        <w:drawing>
          <wp:inline distT="0" distB="0" distL="114300" distR="114300">
            <wp:extent cx="5267960" cy="2663190"/>
            <wp:effectExtent l="0" t="0" r="8890" b="381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2"/>
                    <a:stretch>
                      <a:fillRect/>
                    </a:stretch>
                  </pic:blipFill>
                  <pic:spPr>
                    <a:xfrm>
                      <a:off x="0" y="0"/>
                      <a:ext cx="5267960" cy="2663190"/>
                    </a:xfrm>
                    <a:prstGeom prst="rect">
                      <a:avLst/>
                    </a:prstGeom>
                    <a:noFill/>
                    <a:ln>
                      <a:noFill/>
                    </a:ln>
                  </pic:spPr>
                </pic:pic>
              </a:graphicData>
            </a:graphic>
          </wp:inline>
        </w:drawing>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黑体" w:hAnsi="黑体" w:eastAsia="黑体" w:cs="宋体"/>
          <w:bCs/>
          <w:color w:val="auto"/>
          <w:kern w:val="0"/>
          <w:sz w:val="32"/>
          <w:szCs w:val="32"/>
          <w:highlight w:val="none"/>
          <w:lang w:eastAsia="zh-CN"/>
        </w:rPr>
      </w:pPr>
      <w:r>
        <w:rPr>
          <w:rFonts w:hint="eastAsia" w:ascii="黑体" w:hAnsi="黑体" w:eastAsia="黑体" w:cs="宋体"/>
          <w:bCs/>
          <w:color w:val="auto"/>
          <w:kern w:val="0"/>
          <w:sz w:val="32"/>
          <w:szCs w:val="32"/>
          <w:highlight w:val="none"/>
          <w:lang w:eastAsia="zh-CN"/>
        </w:rPr>
        <w:t>十</w:t>
      </w:r>
      <w:r>
        <w:rPr>
          <w:rFonts w:hint="eastAsia" w:ascii="黑体" w:hAnsi="黑体" w:eastAsia="黑体" w:cs="宋体"/>
          <w:bCs/>
          <w:color w:val="auto"/>
          <w:kern w:val="0"/>
          <w:sz w:val="32"/>
          <w:szCs w:val="32"/>
          <w:highlight w:val="none"/>
          <w:lang w:val="en-US" w:eastAsia="zh-CN"/>
        </w:rPr>
        <w:t>二</w:t>
      </w:r>
      <w:r>
        <w:rPr>
          <w:rFonts w:hint="eastAsia" w:ascii="黑体" w:hAnsi="黑体" w:eastAsia="黑体" w:cs="宋体"/>
          <w:bCs/>
          <w:color w:val="auto"/>
          <w:kern w:val="0"/>
          <w:sz w:val="32"/>
          <w:szCs w:val="32"/>
          <w:highlight w:val="none"/>
          <w:lang w:eastAsia="zh-CN"/>
        </w:rPr>
        <w:t>、其他需说明的事项</w:t>
      </w:r>
    </w:p>
    <w:p>
      <w:pPr>
        <w:keepNext w:val="0"/>
        <w:keepLines w:val="0"/>
        <w:pageBreakBefore w:val="0"/>
        <w:widowControl w:val="0"/>
        <w:kinsoku/>
        <w:wordWrap/>
        <w:overflowPunct/>
        <w:topLinePunct w:val="0"/>
        <w:bidi w:val="0"/>
        <w:adjustRightInd/>
        <w:snapToGrid/>
        <w:spacing w:line="240" w:lineRule="auto"/>
        <w:ind w:firstLine="640" w:firstLineChars="200"/>
        <w:jc w:val="left"/>
        <w:textAlignment w:val="auto"/>
        <w:rPr>
          <w:rFonts w:hint="eastAsia" w:ascii="仿宋_GB2312" w:hAnsi="仿宋_GB2312" w:eastAsia="仿宋_GB2312" w:cs="仿宋_GB2312"/>
          <w:color w:val="auto"/>
          <w:kern w:val="0"/>
          <w:sz w:val="32"/>
          <w:szCs w:val="32"/>
          <w:highlight w:val="none"/>
          <w:lang w:val="en-US" w:eastAsia="zh-CN"/>
        </w:rPr>
      </w:pPr>
      <w:r>
        <w:rPr>
          <w:rFonts w:hint="eastAsia" w:ascii="仿宋_GB2312" w:hAnsi="仿宋_GB2312" w:eastAsia="仿宋_GB2312" w:cs="仿宋_GB2312"/>
          <w:color w:val="auto"/>
          <w:kern w:val="0"/>
          <w:sz w:val="32"/>
          <w:szCs w:val="32"/>
          <w:highlight w:val="none"/>
          <w:lang w:val="en-US" w:eastAsia="zh-Hans"/>
        </w:rPr>
        <w:t>本年度安排</w:t>
      </w:r>
      <w:r>
        <w:rPr>
          <w:rFonts w:hint="eastAsia" w:ascii="仿宋_GB2312" w:hAnsi="仿宋_GB2312" w:eastAsia="仿宋_GB2312" w:cs="仿宋_GB2312"/>
          <w:color w:val="auto"/>
          <w:kern w:val="0"/>
          <w:sz w:val="32"/>
          <w:szCs w:val="32"/>
          <w:highlight w:val="none"/>
          <w:lang w:val="en-US" w:eastAsia="zh-CN"/>
        </w:rPr>
        <w:t>sm</w:t>
      </w:r>
      <w:r>
        <w:rPr>
          <w:rFonts w:hint="eastAsia" w:ascii="仿宋_GB2312" w:hAnsi="仿宋_GB2312" w:eastAsia="仿宋_GB2312" w:cs="仿宋_GB2312"/>
          <w:color w:val="auto"/>
          <w:kern w:val="0"/>
          <w:sz w:val="32"/>
          <w:szCs w:val="32"/>
          <w:highlight w:val="none"/>
          <w:lang w:val="en-US" w:eastAsia="zh-Hans"/>
        </w:rPr>
        <w:t>项目</w:t>
      </w:r>
      <w:r>
        <w:rPr>
          <w:rFonts w:hint="eastAsia" w:ascii="仿宋_GB2312" w:hAnsi="仿宋_GB2312" w:eastAsia="仿宋_GB2312" w:cs="仿宋_GB2312"/>
          <w:color w:val="auto"/>
          <w:kern w:val="0"/>
          <w:sz w:val="32"/>
          <w:szCs w:val="32"/>
          <w:highlight w:val="none"/>
          <w:lang w:val="en-US" w:eastAsia="zh-CN"/>
        </w:rPr>
        <w:t>2个</w:t>
      </w:r>
      <w:r>
        <w:rPr>
          <w:rFonts w:hint="eastAsia" w:ascii="仿宋_GB2312" w:hAnsi="仿宋_GB2312" w:eastAsia="仿宋_GB2312" w:cs="仿宋_GB2312"/>
          <w:color w:val="auto"/>
          <w:kern w:val="0"/>
          <w:sz w:val="32"/>
          <w:szCs w:val="32"/>
          <w:highlight w:val="none"/>
          <w:lang w:val="en-US" w:eastAsia="zh-Hans"/>
        </w:rPr>
        <w:t>，</w:t>
      </w:r>
      <w:r>
        <w:rPr>
          <w:rFonts w:hint="eastAsia" w:ascii="仿宋_GB2312" w:hAnsi="仿宋_GB2312" w:eastAsia="仿宋_GB2312" w:cs="仿宋_GB2312"/>
          <w:color w:val="auto"/>
          <w:kern w:val="0"/>
          <w:sz w:val="32"/>
          <w:szCs w:val="32"/>
          <w:highlight w:val="none"/>
          <w:lang w:val="en-US" w:eastAsia="zh-CN"/>
        </w:rPr>
        <w:t>sm项目金额450.78万元。</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0"/>
        <w:rPr>
          <w:rFonts w:hint="eastAsia" w:ascii="黑体" w:hAnsi="黑体" w:eastAsia="黑体"/>
          <w:color w:val="auto"/>
          <w:sz w:val="32"/>
          <w:szCs w:val="32"/>
          <w:highlight w:val="none"/>
        </w:rPr>
      </w:pPr>
      <w:bookmarkStart w:id="30" w:name="_Toc3250"/>
      <w:bookmarkStart w:id="31" w:name="_Toc24143"/>
      <w:r>
        <w:rPr>
          <w:rFonts w:hint="eastAsia" w:ascii="黑体" w:hAnsi="黑体" w:eastAsia="黑体"/>
          <w:color w:val="auto"/>
          <w:sz w:val="32"/>
          <w:szCs w:val="32"/>
          <w:highlight w:val="none"/>
        </w:rPr>
        <w:br w:type="page"/>
      </w:r>
      <w:r>
        <w:rPr>
          <w:rFonts w:hint="eastAsia" w:ascii="黑体" w:hAnsi="黑体" w:eastAsia="黑体"/>
          <w:color w:val="auto"/>
          <w:sz w:val="32"/>
          <w:szCs w:val="32"/>
          <w:highlight w:val="none"/>
        </w:rPr>
        <w:t>第</w:t>
      </w:r>
      <w:r>
        <w:rPr>
          <w:rFonts w:hint="eastAsia" w:ascii="黑体" w:hAnsi="黑体" w:eastAsia="黑体"/>
          <w:color w:val="auto"/>
          <w:sz w:val="32"/>
          <w:szCs w:val="32"/>
          <w:highlight w:val="none"/>
          <w:lang w:val="en-US" w:eastAsia="zh-CN"/>
        </w:rPr>
        <w:t>三</w:t>
      </w:r>
      <w:r>
        <w:rPr>
          <w:rFonts w:hint="eastAsia" w:ascii="黑体" w:hAnsi="黑体" w:eastAsia="黑体"/>
          <w:color w:val="auto"/>
          <w:sz w:val="32"/>
          <w:szCs w:val="32"/>
          <w:highlight w:val="none"/>
        </w:rPr>
        <w:t>部分 专业名词解释</w:t>
      </w:r>
      <w:bookmarkEnd w:id="30"/>
      <w:bookmarkEnd w:id="31"/>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一、</w:t>
      </w:r>
      <w:r>
        <w:rPr>
          <w:rFonts w:hint="eastAsia" w:ascii="仿宋_GB2312" w:eastAsia="仿宋_GB2312"/>
          <w:b/>
          <w:bCs/>
          <w:color w:val="auto"/>
          <w:sz w:val="32"/>
          <w:szCs w:val="32"/>
          <w:highlight w:val="none"/>
        </w:rPr>
        <w:t>财政拨款收入：</w:t>
      </w:r>
      <w:r>
        <w:rPr>
          <w:rFonts w:hint="eastAsia" w:ascii="仿宋_GB2312" w:eastAsia="仿宋_GB2312"/>
          <w:color w:val="auto"/>
          <w:sz w:val="32"/>
          <w:szCs w:val="32"/>
          <w:highlight w:val="none"/>
        </w:rPr>
        <w:t>指同级财政当年拨付的资金。</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二、</w:t>
      </w:r>
      <w:r>
        <w:rPr>
          <w:rFonts w:hint="eastAsia" w:ascii="仿宋_GB2312" w:eastAsia="仿宋_GB2312"/>
          <w:b/>
          <w:bCs/>
          <w:color w:val="auto"/>
          <w:sz w:val="32"/>
          <w:szCs w:val="32"/>
          <w:highlight w:val="none"/>
        </w:rPr>
        <w:t>上级补助收入：</w:t>
      </w:r>
      <w:r>
        <w:rPr>
          <w:rFonts w:hint="eastAsia" w:ascii="仿宋_GB2312" w:eastAsia="仿宋_GB2312"/>
          <w:color w:val="auto"/>
          <w:sz w:val="32"/>
          <w:szCs w:val="32"/>
          <w:highlight w:val="none"/>
        </w:rPr>
        <w:t>指事业单位从主管部门和上级单位取得的非财政补助收入。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三、</w:t>
      </w:r>
      <w:r>
        <w:rPr>
          <w:rFonts w:hint="eastAsia" w:ascii="仿宋_GB2312" w:eastAsia="仿宋_GB2312"/>
          <w:b/>
          <w:bCs/>
          <w:color w:val="auto"/>
          <w:sz w:val="32"/>
          <w:szCs w:val="32"/>
          <w:highlight w:val="none"/>
        </w:rPr>
        <w:t>事业收入：</w:t>
      </w:r>
      <w:r>
        <w:rPr>
          <w:rFonts w:hint="eastAsia" w:ascii="仿宋_GB2312" w:eastAsia="仿宋_GB2312"/>
          <w:color w:val="auto"/>
          <w:sz w:val="32"/>
          <w:szCs w:val="32"/>
          <w:highlight w:val="none"/>
        </w:rPr>
        <w:t>指事业单位开展专业业务活动及其辅助活动所取得的收入。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四、</w:t>
      </w:r>
      <w:r>
        <w:rPr>
          <w:rFonts w:hint="eastAsia" w:ascii="仿宋_GB2312" w:eastAsia="仿宋_GB2312"/>
          <w:b/>
          <w:bCs/>
          <w:color w:val="auto"/>
          <w:sz w:val="32"/>
          <w:szCs w:val="32"/>
          <w:highlight w:val="none"/>
        </w:rPr>
        <w:t>经营收入：</w:t>
      </w:r>
      <w:r>
        <w:rPr>
          <w:rFonts w:hint="eastAsia" w:ascii="仿宋_GB2312" w:eastAsia="仿宋_GB2312"/>
          <w:color w:val="auto"/>
          <w:sz w:val="32"/>
          <w:szCs w:val="32"/>
          <w:highlight w:val="none"/>
        </w:rPr>
        <w:t>指事业单位在专业业务活动及其辅助活动之外开展非独立核算经营活动取得的收入。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五、</w:t>
      </w:r>
      <w:r>
        <w:rPr>
          <w:rFonts w:hint="eastAsia" w:ascii="仿宋_GB2312" w:eastAsia="仿宋_GB2312"/>
          <w:b/>
          <w:bCs/>
          <w:color w:val="auto"/>
          <w:sz w:val="32"/>
          <w:szCs w:val="32"/>
          <w:highlight w:val="none"/>
        </w:rPr>
        <w:t>附属单位上缴收入：</w:t>
      </w:r>
      <w:r>
        <w:rPr>
          <w:rFonts w:hint="eastAsia" w:ascii="仿宋_GB2312" w:eastAsia="仿宋_GB2312"/>
          <w:color w:val="auto"/>
          <w:sz w:val="32"/>
          <w:szCs w:val="32"/>
          <w:highlight w:val="none"/>
        </w:rPr>
        <w:t>指事业单位附属的独立核算单位按有关规定上缴的收入。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六、</w:t>
      </w:r>
      <w:r>
        <w:rPr>
          <w:rFonts w:hint="eastAsia" w:ascii="仿宋_GB2312" w:eastAsia="仿宋_GB2312"/>
          <w:b/>
          <w:bCs/>
          <w:color w:val="auto"/>
          <w:sz w:val="32"/>
          <w:szCs w:val="32"/>
          <w:highlight w:val="none"/>
        </w:rPr>
        <w:t>其他收入：</w:t>
      </w:r>
      <w:r>
        <w:rPr>
          <w:rFonts w:hint="eastAsia" w:ascii="仿宋_GB2312" w:eastAsia="仿宋_GB2312"/>
          <w:color w:val="auto"/>
          <w:sz w:val="32"/>
          <w:szCs w:val="32"/>
          <w:highlight w:val="none"/>
        </w:rPr>
        <w:t>指除上述“财政拨款收入”、“事业收入”、“经营收入”、“附属单位上缴收入”等之外取得的收入。</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七、</w:t>
      </w:r>
      <w:r>
        <w:rPr>
          <w:rFonts w:hint="eastAsia" w:ascii="仿宋_GB2312" w:eastAsia="仿宋_GB2312"/>
          <w:b/>
          <w:bCs/>
          <w:color w:val="auto"/>
          <w:sz w:val="32"/>
          <w:szCs w:val="32"/>
          <w:highlight w:val="none"/>
          <w:lang w:eastAsia="zh-CN"/>
        </w:rPr>
        <w:t>年初</w:t>
      </w:r>
      <w:r>
        <w:rPr>
          <w:rFonts w:hint="eastAsia" w:ascii="仿宋_GB2312" w:eastAsia="仿宋_GB2312"/>
          <w:b/>
          <w:bCs/>
          <w:color w:val="auto"/>
          <w:sz w:val="32"/>
          <w:szCs w:val="32"/>
          <w:highlight w:val="none"/>
        </w:rPr>
        <w:t>结转和结余：</w:t>
      </w:r>
      <w:r>
        <w:rPr>
          <w:rFonts w:hint="eastAsia" w:ascii="仿宋_GB2312" w:eastAsia="仿宋_GB2312"/>
          <w:color w:val="auto"/>
          <w:sz w:val="32"/>
          <w:szCs w:val="32"/>
          <w:highlight w:val="none"/>
        </w:rPr>
        <w:t>指以前年度支出预算因客观条件变化未执行完毕、结转到本年度按有关规定继续使用的资金，既包括财政拨款结转和结余，也包括事业收入、经营收入、其他收入的结转和结余。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八、</w:t>
      </w:r>
      <w:r>
        <w:rPr>
          <w:rFonts w:hint="eastAsia" w:ascii="仿宋_GB2312" w:eastAsia="仿宋_GB2312"/>
          <w:b/>
          <w:bCs/>
          <w:color w:val="auto"/>
          <w:sz w:val="32"/>
          <w:szCs w:val="32"/>
          <w:highlight w:val="none"/>
        </w:rPr>
        <w:t>年末结转和结余：</w:t>
      </w:r>
      <w:r>
        <w:rPr>
          <w:rFonts w:hint="eastAsia" w:ascii="仿宋_GB2312" w:eastAsia="仿宋_GB2312"/>
          <w:color w:val="auto"/>
          <w:sz w:val="32"/>
          <w:szCs w:val="32"/>
          <w:highlight w:val="none"/>
        </w:rPr>
        <w:t>指本年度或以前年度预算安排、因客观条件发生变化无法按原计划实施，需要延迟到以后年度按有关规定继续使用的资金，既包括财政拨款结转和结余，也包括事业收入、经营收入、其他收入的结转和结余。</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九、</w:t>
      </w:r>
      <w:r>
        <w:rPr>
          <w:rFonts w:hint="eastAsia" w:ascii="仿宋_GB2312" w:eastAsia="仿宋_GB2312"/>
          <w:b/>
          <w:bCs/>
          <w:color w:val="auto"/>
          <w:sz w:val="32"/>
          <w:szCs w:val="32"/>
          <w:highlight w:val="none"/>
        </w:rPr>
        <w:t>基本支出：</w:t>
      </w:r>
      <w:r>
        <w:rPr>
          <w:rFonts w:hint="eastAsia" w:ascii="仿宋_GB2312" w:eastAsia="仿宋_GB2312"/>
          <w:color w:val="auto"/>
          <w:sz w:val="32"/>
          <w:szCs w:val="32"/>
          <w:highlight w:val="none"/>
        </w:rPr>
        <w:t>指为保障机构正常运转、完成日常工作任务而发生的人员支出和公用支出。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jc w:val="left"/>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w:t>
      </w:r>
      <w:r>
        <w:rPr>
          <w:rFonts w:hint="eastAsia" w:ascii="仿宋_GB2312" w:eastAsia="仿宋_GB2312"/>
          <w:b/>
          <w:bCs/>
          <w:color w:val="auto"/>
          <w:sz w:val="32"/>
          <w:szCs w:val="32"/>
          <w:highlight w:val="none"/>
        </w:rPr>
        <w:t>项目支出：</w:t>
      </w:r>
      <w:r>
        <w:rPr>
          <w:rFonts w:hint="eastAsia" w:ascii="仿宋_GB2312" w:eastAsia="仿宋_GB2312"/>
          <w:color w:val="auto"/>
          <w:sz w:val="32"/>
          <w:szCs w:val="32"/>
          <w:highlight w:val="none"/>
        </w:rPr>
        <w:t>指在基本支出之外为完成特定行政任务和事业发展目标所发生的支出。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十一、</w:t>
      </w:r>
      <w:r>
        <w:rPr>
          <w:rFonts w:hint="eastAsia" w:ascii="仿宋_GB2312" w:eastAsia="仿宋_GB2312"/>
          <w:b/>
          <w:bCs/>
          <w:color w:val="auto"/>
          <w:sz w:val="32"/>
          <w:szCs w:val="32"/>
          <w:highlight w:val="none"/>
        </w:rPr>
        <w:t>经营支出：</w:t>
      </w:r>
      <w:r>
        <w:rPr>
          <w:rFonts w:hint="eastAsia" w:ascii="仿宋_GB2312" w:eastAsia="仿宋_GB2312"/>
          <w:color w:val="auto"/>
          <w:sz w:val="32"/>
          <w:szCs w:val="32"/>
          <w:highlight w:val="none"/>
        </w:rPr>
        <w:t>指事业单位在专业业务活动及其辅助活动之外开展非独立核算经营活动发生的支出。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十二、</w:t>
      </w:r>
      <w:r>
        <w:rPr>
          <w:rFonts w:hint="eastAsia" w:ascii="仿宋_GB2312" w:eastAsia="仿宋_GB2312"/>
          <w:b/>
          <w:bCs/>
          <w:color w:val="auto"/>
          <w:sz w:val="32"/>
          <w:szCs w:val="32"/>
          <w:highlight w:val="none"/>
        </w:rPr>
        <w:t>对附属单位补助支出：</w:t>
      </w:r>
      <w:r>
        <w:rPr>
          <w:rFonts w:hint="eastAsia" w:ascii="仿宋_GB2312" w:eastAsia="仿宋_GB2312"/>
          <w:color w:val="auto"/>
          <w:sz w:val="32"/>
          <w:szCs w:val="32"/>
          <w:highlight w:val="none"/>
        </w:rPr>
        <w:t>指事业单位发生的用非财政预算资金对附属单位的补助支出。</w:t>
      </w:r>
    </w:p>
    <w:p>
      <w:pPr>
        <w:keepNext w:val="0"/>
        <w:keepLines w:val="0"/>
        <w:pageBreakBefore w:val="0"/>
        <w:widowControl w:val="0"/>
        <w:kinsoku/>
        <w:wordWrap/>
        <w:overflowPunct/>
        <w:topLinePunct w:val="0"/>
        <w:autoSpaceDE w:val="0"/>
        <w:autoSpaceDN w:val="0"/>
        <w:bidi w:val="0"/>
        <w:adjustRightInd/>
        <w:snapToGrid/>
        <w:spacing w:line="240" w:lineRule="auto"/>
        <w:ind w:firstLine="643" w:firstLineChars="200"/>
        <w:textAlignment w:val="auto"/>
        <w:rPr>
          <w:rFonts w:hint="eastAsia" w:ascii="仿宋_GB2312" w:eastAsia="仿宋_GB2312"/>
          <w:color w:val="auto"/>
          <w:sz w:val="32"/>
          <w:szCs w:val="32"/>
          <w:highlight w:val="none"/>
          <w:lang w:eastAsia="zh-CN"/>
        </w:rPr>
      </w:pPr>
      <w:r>
        <w:rPr>
          <w:rFonts w:hint="eastAsia" w:ascii="仿宋_GB2312" w:eastAsia="仿宋_GB2312"/>
          <w:b/>
          <w:bCs/>
          <w:color w:val="auto"/>
          <w:sz w:val="32"/>
          <w:szCs w:val="32"/>
          <w:highlight w:val="none"/>
          <w:lang w:val="en-US" w:eastAsia="zh-CN"/>
        </w:rPr>
        <w:t>十三、</w:t>
      </w:r>
      <w:r>
        <w:rPr>
          <w:rFonts w:hint="eastAsia" w:ascii="仿宋_GB2312" w:eastAsia="仿宋_GB2312"/>
          <w:b/>
          <w:bCs/>
          <w:color w:val="auto"/>
          <w:sz w:val="32"/>
          <w:szCs w:val="32"/>
          <w:highlight w:val="none"/>
        </w:rPr>
        <w:t>“三公”经费：</w:t>
      </w:r>
      <w:r>
        <w:rPr>
          <w:rFonts w:hint="eastAsia" w:ascii="仿宋_GB2312" w:eastAsia="仿宋_GB2312"/>
          <w:color w:val="auto"/>
          <w:sz w:val="32"/>
          <w:szCs w:val="32"/>
          <w:highlight w:val="none"/>
        </w:rPr>
        <w:t>指用财政拨款安排的因公出国（境）费、公务用车购置及运行费和公务接待费。其中，因公出国（境）费反映单位公务出国（境）的</w:t>
      </w:r>
      <w:r>
        <w:rPr>
          <w:rFonts w:hint="eastAsia" w:ascii="仿宋_GB2312" w:eastAsia="仿宋_GB2312"/>
          <w:color w:val="auto"/>
          <w:sz w:val="32"/>
          <w:szCs w:val="32"/>
          <w:highlight w:val="none"/>
          <w:lang w:eastAsia="zh-CN"/>
        </w:rPr>
        <w:t>国际旅费、国外城市间交通费、</w:t>
      </w:r>
      <w:r>
        <w:rPr>
          <w:rFonts w:hint="eastAsia" w:ascii="仿宋_GB2312" w:eastAsia="仿宋_GB2312"/>
          <w:color w:val="auto"/>
          <w:sz w:val="32"/>
          <w:szCs w:val="32"/>
          <w:highlight w:val="none"/>
        </w:rPr>
        <w:t>住宿费、伙食费、培训费、</w:t>
      </w:r>
      <w:r>
        <w:rPr>
          <w:rFonts w:hint="eastAsia" w:ascii="仿宋_GB2312" w:eastAsia="仿宋_GB2312"/>
          <w:color w:val="auto"/>
          <w:sz w:val="32"/>
          <w:szCs w:val="32"/>
          <w:highlight w:val="none"/>
          <w:lang w:eastAsia="zh-CN"/>
        </w:rPr>
        <w:t>公</w:t>
      </w:r>
      <w:r>
        <w:rPr>
          <w:rFonts w:hint="eastAsia" w:ascii="仿宋_GB2312" w:eastAsia="仿宋_GB2312"/>
          <w:color w:val="auto"/>
          <w:sz w:val="32"/>
          <w:szCs w:val="32"/>
          <w:highlight w:val="none"/>
        </w:rPr>
        <w:t>杂费等支出；公务用车购置费</w:t>
      </w:r>
      <w:r>
        <w:rPr>
          <w:rFonts w:hint="eastAsia" w:ascii="仿宋_GB2312" w:eastAsia="仿宋_GB2312"/>
          <w:color w:val="auto"/>
          <w:sz w:val="32"/>
          <w:szCs w:val="32"/>
          <w:highlight w:val="none"/>
          <w:lang w:eastAsia="zh-CN"/>
        </w:rPr>
        <w:t>反映公务用车购置支出（含车辆购置税、牌照费）；</w:t>
      </w:r>
      <w:r>
        <w:rPr>
          <w:rFonts w:hint="eastAsia" w:ascii="仿宋_GB2312" w:eastAsia="仿宋_GB2312"/>
          <w:color w:val="auto"/>
          <w:sz w:val="32"/>
          <w:szCs w:val="32"/>
          <w:highlight w:val="none"/>
        </w:rPr>
        <w:t>公务用车运行</w:t>
      </w:r>
      <w:r>
        <w:rPr>
          <w:rFonts w:hint="eastAsia" w:ascii="仿宋_GB2312" w:eastAsia="仿宋_GB2312"/>
          <w:color w:val="auto"/>
          <w:sz w:val="32"/>
          <w:szCs w:val="32"/>
          <w:highlight w:val="none"/>
          <w:lang w:eastAsia="zh-CN"/>
        </w:rPr>
        <w:t>维护</w:t>
      </w:r>
      <w:r>
        <w:rPr>
          <w:rFonts w:hint="eastAsia" w:ascii="仿宋_GB2312" w:eastAsia="仿宋_GB2312"/>
          <w:color w:val="auto"/>
          <w:sz w:val="32"/>
          <w:szCs w:val="32"/>
          <w:highlight w:val="none"/>
        </w:rPr>
        <w:t>费反映</w:t>
      </w:r>
      <w:r>
        <w:rPr>
          <w:rFonts w:hint="eastAsia" w:ascii="仿宋_GB2312" w:eastAsia="仿宋_GB2312"/>
          <w:color w:val="auto"/>
          <w:sz w:val="32"/>
          <w:szCs w:val="32"/>
          <w:highlight w:val="none"/>
          <w:lang w:eastAsia="zh-CN"/>
        </w:rPr>
        <w:t>单位按规定保留的公务用车燃料费、维修费、</w:t>
      </w:r>
      <w:r>
        <w:rPr>
          <w:rFonts w:hint="eastAsia" w:ascii="仿宋_GB2312" w:eastAsia="仿宋_GB2312"/>
          <w:color w:val="auto"/>
          <w:sz w:val="32"/>
          <w:szCs w:val="32"/>
          <w:highlight w:val="none"/>
        </w:rPr>
        <w:t>过路过桥费、保险费、安全奖励费用等支出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公务接待费反映单位按规定开支的各类公务接待（含外宾接待）</w:t>
      </w:r>
      <w:r>
        <w:rPr>
          <w:rFonts w:hint="eastAsia" w:ascii="仿宋_GB2312" w:eastAsia="仿宋_GB2312"/>
          <w:color w:val="auto"/>
          <w:sz w:val="32"/>
          <w:szCs w:val="32"/>
          <w:highlight w:val="none"/>
          <w:lang w:eastAsia="zh-CN"/>
        </w:rPr>
        <w:t>费用</w:t>
      </w:r>
      <w:r>
        <w:rPr>
          <w:rFonts w:hint="eastAsia" w:ascii="仿宋_GB2312" w:eastAsia="仿宋_GB2312"/>
          <w:color w:val="auto"/>
          <w:sz w:val="32"/>
          <w:szCs w:val="32"/>
          <w:highlight w:val="none"/>
        </w:rPr>
        <w:t>。</w:t>
      </w:r>
    </w:p>
    <w:p>
      <w:pPr>
        <w:keepNext w:val="0"/>
        <w:keepLines w:val="0"/>
        <w:pageBreakBefore w:val="0"/>
        <w:widowControl w:val="0"/>
        <w:kinsoku/>
        <w:wordWrap/>
        <w:overflowPunct/>
        <w:topLinePunct w:val="0"/>
        <w:bidi w:val="0"/>
        <w:adjustRightInd/>
        <w:snapToGrid/>
        <w:spacing w:line="240" w:lineRule="auto"/>
        <w:ind w:firstLine="643" w:firstLineChars="200"/>
        <w:textAlignment w:val="auto"/>
        <w:rPr>
          <w:rFonts w:hint="eastAsia" w:ascii="仿宋_GB2312" w:eastAsia="仿宋_GB2312"/>
          <w:color w:val="auto"/>
          <w:sz w:val="32"/>
          <w:szCs w:val="32"/>
          <w:highlight w:val="none"/>
        </w:rPr>
      </w:pPr>
      <w:r>
        <w:rPr>
          <w:rFonts w:hint="eastAsia" w:ascii="仿宋_GB2312" w:eastAsia="仿宋_GB2312"/>
          <w:b/>
          <w:bCs/>
          <w:color w:val="auto"/>
          <w:sz w:val="32"/>
          <w:szCs w:val="32"/>
          <w:highlight w:val="none"/>
          <w:lang w:val="en-US" w:eastAsia="zh-CN"/>
        </w:rPr>
        <w:t>十四、</w:t>
      </w:r>
      <w:r>
        <w:rPr>
          <w:rFonts w:hint="eastAsia" w:ascii="仿宋_GB2312" w:eastAsia="仿宋_GB2312"/>
          <w:b/>
          <w:bCs/>
          <w:color w:val="auto"/>
          <w:sz w:val="32"/>
          <w:szCs w:val="32"/>
          <w:highlight w:val="none"/>
        </w:rPr>
        <w:t>机关运行经费：</w:t>
      </w:r>
      <w:r>
        <w:rPr>
          <w:rFonts w:hint="eastAsia" w:ascii="仿宋_GB2312" w:eastAsia="仿宋_GB2312"/>
          <w:color w:val="auto"/>
          <w:sz w:val="32"/>
          <w:szCs w:val="32"/>
          <w:highlight w:val="none"/>
        </w:rPr>
        <w:t>行政单位和参照公务员法管理的事业单位财政拨款基本支出中的公用经费支出。</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center"/>
        <w:textAlignment w:val="auto"/>
        <w:outlineLvl w:val="0"/>
        <w:rPr>
          <w:rFonts w:hint="eastAsia" w:ascii="黑体" w:hAnsi="黑体" w:eastAsia="黑体"/>
          <w:color w:val="auto"/>
          <w:sz w:val="32"/>
          <w:szCs w:val="32"/>
          <w:highlight w:val="none"/>
        </w:rPr>
      </w:pPr>
      <w:r>
        <w:rPr>
          <w:rFonts w:hint="eastAsia" w:ascii="仿宋_GB2312" w:eastAsia="仿宋_GB2312"/>
          <w:color w:val="auto"/>
          <w:sz w:val="32"/>
          <w:szCs w:val="32"/>
          <w:highlight w:val="none"/>
        </w:rPr>
        <w:br w:type="page"/>
      </w:r>
      <w:r>
        <w:rPr>
          <w:rFonts w:hint="eastAsia" w:ascii="黑体" w:hAnsi="黑体" w:eastAsia="黑体"/>
          <w:color w:val="auto"/>
          <w:sz w:val="32"/>
          <w:szCs w:val="32"/>
          <w:highlight w:val="none"/>
        </w:rPr>
        <w:t>第四部分 部门决算报表（见附表）</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2" w:name="_Toc6062"/>
      <w:bookmarkStart w:id="33" w:name="_Toc2183"/>
      <w:r>
        <w:rPr>
          <w:rFonts w:hint="eastAsia" w:ascii="黑体" w:hAnsi="黑体" w:eastAsia="仿宋_GB2312" w:cs="宋体"/>
          <w:bCs/>
          <w:color w:val="auto"/>
          <w:kern w:val="0"/>
          <w:sz w:val="32"/>
          <w:szCs w:val="32"/>
          <w:highlight w:val="none"/>
        </w:rPr>
        <w:t>一、《收入支出决算总表》</w:t>
      </w:r>
      <w:bookmarkEnd w:id="32"/>
      <w:bookmarkEnd w:id="3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4" w:name="_Toc30364"/>
      <w:bookmarkStart w:id="35" w:name="_Toc24532"/>
      <w:r>
        <w:rPr>
          <w:rFonts w:hint="eastAsia" w:ascii="黑体" w:hAnsi="黑体" w:eastAsia="仿宋_GB2312" w:cs="宋体"/>
          <w:bCs/>
          <w:color w:val="auto"/>
          <w:kern w:val="0"/>
          <w:sz w:val="32"/>
          <w:szCs w:val="32"/>
          <w:highlight w:val="none"/>
        </w:rPr>
        <w:t>二、《收入决算表》</w:t>
      </w:r>
      <w:bookmarkEnd w:id="34"/>
      <w:bookmarkEnd w:id="3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6" w:name="_Toc32434"/>
      <w:bookmarkStart w:id="37" w:name="_Toc21304"/>
      <w:r>
        <w:rPr>
          <w:rFonts w:hint="eastAsia" w:ascii="黑体" w:hAnsi="黑体" w:eastAsia="仿宋_GB2312" w:cs="宋体"/>
          <w:bCs/>
          <w:color w:val="auto"/>
          <w:kern w:val="0"/>
          <w:sz w:val="32"/>
          <w:szCs w:val="32"/>
          <w:highlight w:val="none"/>
        </w:rPr>
        <w:t>三、《支出决算表》</w:t>
      </w:r>
      <w:bookmarkEnd w:id="36"/>
      <w:bookmarkEnd w:id="3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38" w:name="_Toc28786"/>
      <w:bookmarkStart w:id="39" w:name="_Toc14238"/>
      <w:r>
        <w:rPr>
          <w:rFonts w:hint="eastAsia" w:ascii="黑体" w:hAnsi="黑体" w:eastAsia="仿宋_GB2312" w:cs="宋体"/>
          <w:bCs/>
          <w:color w:val="auto"/>
          <w:kern w:val="0"/>
          <w:sz w:val="32"/>
          <w:szCs w:val="32"/>
          <w:highlight w:val="none"/>
        </w:rPr>
        <w:t>四、《财政拨款收入支出决算总表》</w:t>
      </w:r>
      <w:bookmarkEnd w:id="38"/>
      <w:bookmarkEnd w:id="39"/>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0" w:name="_Toc14869"/>
      <w:bookmarkStart w:id="41" w:name="_Toc10347"/>
      <w:r>
        <w:rPr>
          <w:rFonts w:hint="eastAsia" w:ascii="黑体" w:hAnsi="黑体" w:eastAsia="仿宋_GB2312" w:cs="宋体"/>
          <w:bCs/>
          <w:color w:val="auto"/>
          <w:kern w:val="0"/>
          <w:sz w:val="32"/>
          <w:szCs w:val="32"/>
          <w:highlight w:val="none"/>
        </w:rPr>
        <w:t>五、《一般公共预算财政拨款支出决算表》</w:t>
      </w:r>
      <w:bookmarkEnd w:id="40"/>
      <w:bookmarkEnd w:id="41"/>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2" w:name="_Toc8884"/>
      <w:bookmarkStart w:id="43" w:name="_Toc5626"/>
      <w:r>
        <w:rPr>
          <w:rFonts w:hint="eastAsia" w:ascii="黑体" w:hAnsi="黑体" w:eastAsia="仿宋_GB2312" w:cs="宋体"/>
          <w:bCs/>
          <w:color w:val="auto"/>
          <w:kern w:val="0"/>
          <w:sz w:val="32"/>
          <w:szCs w:val="32"/>
          <w:highlight w:val="none"/>
        </w:rPr>
        <w:t>六、《一般公共预算财政拨款基本支出决算表》</w:t>
      </w:r>
      <w:bookmarkEnd w:id="42"/>
      <w:bookmarkEnd w:id="43"/>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rPr>
        <w:t>七、</w:t>
      </w:r>
      <w:bookmarkStart w:id="44" w:name="_Toc32663"/>
      <w:bookmarkStart w:id="45" w:name="_Toc29106"/>
      <w:r>
        <w:rPr>
          <w:rFonts w:hint="eastAsia" w:ascii="黑体" w:hAnsi="黑体" w:eastAsia="仿宋_GB2312" w:cs="宋体"/>
          <w:bCs/>
          <w:color w:val="auto"/>
          <w:kern w:val="0"/>
          <w:sz w:val="32"/>
          <w:szCs w:val="32"/>
          <w:highlight w:val="none"/>
        </w:rPr>
        <w:t>《财政拨款“三公”经费支出决算表》</w:t>
      </w:r>
      <w:bookmarkEnd w:id="44"/>
      <w:bookmarkEnd w:id="45"/>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bookmarkStart w:id="46" w:name="_Toc7643"/>
      <w:bookmarkStart w:id="47" w:name="_Toc5453"/>
      <w:r>
        <w:rPr>
          <w:rFonts w:hint="eastAsia" w:ascii="黑体" w:hAnsi="黑体" w:eastAsia="仿宋_GB2312" w:cs="宋体"/>
          <w:bCs/>
          <w:color w:val="auto"/>
          <w:kern w:val="0"/>
          <w:sz w:val="32"/>
          <w:szCs w:val="32"/>
          <w:highlight w:val="none"/>
        </w:rPr>
        <w:t>八、《政府性基金预算财政拨款收入支出决算表》</w:t>
      </w:r>
      <w:bookmarkEnd w:id="46"/>
      <w:bookmarkEnd w:id="47"/>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仿宋_GB2312" w:cs="宋体"/>
          <w:bCs/>
          <w:color w:val="auto"/>
          <w:kern w:val="0"/>
          <w:sz w:val="32"/>
          <w:szCs w:val="32"/>
          <w:highlight w:val="none"/>
        </w:rPr>
      </w:pPr>
      <w:r>
        <w:rPr>
          <w:rFonts w:hint="eastAsia" w:ascii="黑体" w:hAnsi="黑体" w:eastAsia="仿宋_GB2312" w:cs="宋体"/>
          <w:bCs/>
          <w:color w:val="auto"/>
          <w:kern w:val="0"/>
          <w:sz w:val="32"/>
          <w:szCs w:val="32"/>
          <w:highlight w:val="none"/>
          <w:lang w:val="en-US" w:eastAsia="zh-CN"/>
        </w:rPr>
        <w:t>九</w:t>
      </w:r>
      <w:r>
        <w:rPr>
          <w:rFonts w:hint="eastAsia" w:ascii="黑体" w:hAnsi="黑体" w:eastAsia="仿宋_GB2312" w:cs="宋体"/>
          <w:bCs/>
          <w:color w:val="auto"/>
          <w:kern w:val="0"/>
          <w:sz w:val="32"/>
          <w:szCs w:val="32"/>
          <w:highlight w:val="none"/>
        </w:rPr>
        <w:t>、《</w:t>
      </w:r>
      <w:r>
        <w:rPr>
          <w:rFonts w:hint="eastAsia" w:ascii="黑体" w:hAnsi="黑体" w:eastAsia="仿宋_GB2312" w:cs="宋体"/>
          <w:bCs/>
          <w:color w:val="auto"/>
          <w:kern w:val="0"/>
          <w:sz w:val="32"/>
          <w:szCs w:val="32"/>
          <w:highlight w:val="none"/>
          <w:lang w:eastAsia="zh-CN"/>
        </w:rPr>
        <w:t>国有资本经营</w:t>
      </w:r>
      <w:r>
        <w:rPr>
          <w:rFonts w:hint="eastAsia" w:ascii="黑体" w:hAnsi="黑体" w:eastAsia="仿宋_GB2312" w:cs="宋体"/>
          <w:bCs/>
          <w:color w:val="auto"/>
          <w:kern w:val="0"/>
          <w:sz w:val="32"/>
          <w:szCs w:val="32"/>
          <w:highlight w:val="none"/>
        </w:rPr>
        <w:t>预算财政拨款收入支出决算表》</w:t>
      </w:r>
    </w:p>
    <w:p>
      <w:pPr>
        <w:keepNext w:val="0"/>
        <w:keepLines w:val="0"/>
        <w:pageBreakBefore w:val="0"/>
        <w:widowControl w:val="0"/>
        <w:kinsoku/>
        <w:wordWrap/>
        <w:overflowPunct/>
        <w:topLinePunct w:val="0"/>
        <w:bidi w:val="0"/>
        <w:adjustRightInd/>
        <w:snapToGrid/>
        <w:spacing w:line="240" w:lineRule="auto"/>
        <w:ind w:firstLine="640" w:firstLineChars="200"/>
        <w:textAlignment w:val="auto"/>
        <w:rPr>
          <w:rFonts w:hint="eastAsia" w:ascii="仿宋_GB2312" w:eastAsia="仿宋_GB2312"/>
          <w:color w:val="auto"/>
          <w:sz w:val="32"/>
          <w:szCs w:val="32"/>
          <w:highlight w:val="none"/>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both"/>
        <w:textAlignment w:val="auto"/>
        <w:outlineLvl w:val="1"/>
        <w:rPr>
          <w:rFonts w:hint="eastAsia" w:ascii="黑体" w:hAnsi="黑体" w:eastAsia="黑体" w:cs="宋体"/>
          <w:bCs/>
          <w:color w:val="auto"/>
          <w:kern w:val="0"/>
          <w:sz w:val="32"/>
          <w:szCs w:val="32"/>
          <w:highlight w:val="none"/>
          <w:lang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00007A87" w:usb1="80000000" w:usb2="00000008" w:usb3="00000000" w:csb0="400001FF" w:csb1="FFFF0000"/>
  </w:font>
  <w:font w:name="宋体">
    <w:panose1 w:val="02010600030101010101"/>
    <w:charset w:val="50"/>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embedRegular r:id="rId1" w:fontKey="{DB031F65-6CAD-4C3B-88E2-2EC46DA03EE5}"/>
  </w:font>
  <w:font w:name="Arial">
    <w:panose1 w:val="020B0604020202020204"/>
    <w:charset w:val="01"/>
    <w:family w:val="swiss"/>
    <w:pitch w:val="default"/>
    <w:sig w:usb0="00007A87" w:usb1="80000000" w:usb2="00000008" w:usb3="00000000" w:csb0="400001FF" w:csb1="FFFF0000"/>
    <w:embedRegular r:id="rId2" w:fontKey="{CC3EEC2B-3980-4CE5-A58B-E9062671FBF4}"/>
  </w:font>
  <w:font w:name="黑体">
    <w:panose1 w:val="02010600030101010101"/>
    <w:charset w:val="86"/>
    <w:family w:val="auto"/>
    <w:pitch w:val="default"/>
    <w:sig w:usb0="00000001" w:usb1="080E0000" w:usb2="00000000" w:usb3="00000000" w:csb0="00040000" w:csb1="00000000"/>
    <w:embedRegular r:id="rId3" w:fontKey="{509DCE65-B570-4EE9-AF41-C035E29833AA}"/>
  </w:font>
  <w:font w:name="Courier New">
    <w:panose1 w:val="02070309020205020404"/>
    <w:charset w:val="01"/>
    <w:family w:val="modern"/>
    <w:pitch w:val="default"/>
    <w:sig w:usb0="00007A87" w:usb1="80000000" w:usb2="00000008" w:usb3="00000000" w:csb0="400001FF" w:csb1="FFFF0000"/>
    <w:embedRegular r:id="rId4" w:fontKey="{1641EF30-6A9F-4B34-9E94-21E4FE79AEE5}"/>
  </w:font>
  <w:font w:name="Symbol">
    <w:panose1 w:val="05050102010706020507"/>
    <w:charset w:val="02"/>
    <w:family w:val="roman"/>
    <w:pitch w:val="default"/>
    <w:sig w:usb0="00000000" w:usb1="00000000" w:usb2="00000000" w:usb3="00000000" w:csb0="80000000" w:csb1="00000000"/>
    <w:embedRegular r:id="rId5" w:fontKey="{B8E4BD4F-60B0-4C76-845A-3B8DCC699502}"/>
  </w:font>
  <w:font w:name="Calibri">
    <w:panose1 w:val="020F0502020204030204"/>
    <w:charset w:val="00"/>
    <w:family w:val="swiss"/>
    <w:pitch w:val="default"/>
    <w:sig w:usb0="A00002EF" w:usb1="4000207B" w:usb2="00000000" w:usb3="00000000" w:csb0="2000009F" w:csb1="00000000"/>
    <w:embedRegular r:id="rId6" w:fontKey="{775CD252-2C4B-46FF-ABBF-A6FC3D93615C}"/>
  </w:font>
  <w:font w:name="仿宋_GB2312">
    <w:panose1 w:val="02010609030101010101"/>
    <w:charset w:val="86"/>
    <w:family w:val="modern"/>
    <w:pitch w:val="default"/>
    <w:sig w:usb0="00000001" w:usb1="080E0000" w:usb2="00000000" w:usb3="00000000" w:csb0="00040000" w:csb1="00000000"/>
    <w:embedRegular r:id="rId7" w:fontKey="{C75C7177-BD54-4519-8692-214A2BD2904C}"/>
  </w:font>
  <w:font w:name="方正小标宋_GBK">
    <w:panose1 w:val="03000509000000000000"/>
    <w:charset w:val="86"/>
    <w:family w:val="script"/>
    <w:pitch w:val="default"/>
    <w:sig w:usb0="00000001" w:usb1="080E0000" w:usb2="00000000" w:usb3="00000000" w:csb0="00040000" w:csb1="00000000"/>
    <w:embedRegular r:id="rId8" w:fontKey="{0458CE85-D280-439B-8691-481ACCD145A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vert="horz" wrap="none" lIns="0" tIns="0" rIns="0" bIns="0" anchor="t" anchorCtr="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G15XmjdAQAAvgMAAA4AAAAAAAAA&#10;AQAgAAAAHgEAAGRycy9lMm9Eb2MueG1sUEsFBgAAAAAGAAYAWQEAAG0FAAAAAA==&#10;">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3F031D"/>
    <w:multiLevelType w:val="singleLevel"/>
    <w:tmpl w:val="103F031D"/>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yOGZmZWJiZjkzMTc5MjUxM2FlYjUzNmFjOTJhZmYifQ=="/>
    <w:docVar w:name="KSO_WPS_MARK_KEY" w:val="41ee2a61-2d54-4f93-83be-afdb9a40d732"/>
  </w:docVars>
  <w:rsids>
    <w:rsidRoot w:val="00000000"/>
    <w:rsid w:val="00213C59"/>
    <w:rsid w:val="003210CE"/>
    <w:rsid w:val="00B70D59"/>
    <w:rsid w:val="00F52A8D"/>
    <w:rsid w:val="019404F8"/>
    <w:rsid w:val="01ED22F2"/>
    <w:rsid w:val="025A5C68"/>
    <w:rsid w:val="02BD3108"/>
    <w:rsid w:val="02C1196F"/>
    <w:rsid w:val="02F73D26"/>
    <w:rsid w:val="034D4FEF"/>
    <w:rsid w:val="035D1785"/>
    <w:rsid w:val="039F47CE"/>
    <w:rsid w:val="03E05CE8"/>
    <w:rsid w:val="03F973EE"/>
    <w:rsid w:val="043E5B56"/>
    <w:rsid w:val="04C04386"/>
    <w:rsid w:val="04D96608"/>
    <w:rsid w:val="04FA68C4"/>
    <w:rsid w:val="053F5AE6"/>
    <w:rsid w:val="057C0B0F"/>
    <w:rsid w:val="05EF4B48"/>
    <w:rsid w:val="05F76ECA"/>
    <w:rsid w:val="06792773"/>
    <w:rsid w:val="07093795"/>
    <w:rsid w:val="07641EAE"/>
    <w:rsid w:val="07804730"/>
    <w:rsid w:val="079052BE"/>
    <w:rsid w:val="08145C21"/>
    <w:rsid w:val="082B54A0"/>
    <w:rsid w:val="08422688"/>
    <w:rsid w:val="085854ED"/>
    <w:rsid w:val="0879188F"/>
    <w:rsid w:val="08A0354D"/>
    <w:rsid w:val="08CD4C49"/>
    <w:rsid w:val="09114954"/>
    <w:rsid w:val="095A5B83"/>
    <w:rsid w:val="096466E3"/>
    <w:rsid w:val="0968304D"/>
    <w:rsid w:val="09AF3D17"/>
    <w:rsid w:val="0A7809B7"/>
    <w:rsid w:val="0A7B4867"/>
    <w:rsid w:val="0A840954"/>
    <w:rsid w:val="0A8B4C59"/>
    <w:rsid w:val="0A9928ED"/>
    <w:rsid w:val="0B61769D"/>
    <w:rsid w:val="0B8C3ECC"/>
    <w:rsid w:val="0B9C639D"/>
    <w:rsid w:val="0BB052B2"/>
    <w:rsid w:val="0BD33FFC"/>
    <w:rsid w:val="0BE97AC1"/>
    <w:rsid w:val="0C1C4780"/>
    <w:rsid w:val="0C3613A3"/>
    <w:rsid w:val="0C5E519C"/>
    <w:rsid w:val="0C7227A7"/>
    <w:rsid w:val="0CA52EE8"/>
    <w:rsid w:val="0CBD6988"/>
    <w:rsid w:val="0CD208AC"/>
    <w:rsid w:val="0D4903E8"/>
    <w:rsid w:val="0D7A4A46"/>
    <w:rsid w:val="0DF107ED"/>
    <w:rsid w:val="0E0D58BA"/>
    <w:rsid w:val="0E640559"/>
    <w:rsid w:val="0F1113DA"/>
    <w:rsid w:val="0F78534A"/>
    <w:rsid w:val="0F89358A"/>
    <w:rsid w:val="0F8C6D51"/>
    <w:rsid w:val="0FE46815"/>
    <w:rsid w:val="105B0B5E"/>
    <w:rsid w:val="10C90E0B"/>
    <w:rsid w:val="112E58D0"/>
    <w:rsid w:val="11731CAC"/>
    <w:rsid w:val="119500A0"/>
    <w:rsid w:val="11C0733B"/>
    <w:rsid w:val="11D50D17"/>
    <w:rsid w:val="11E82659"/>
    <w:rsid w:val="120E0809"/>
    <w:rsid w:val="127F665A"/>
    <w:rsid w:val="12AB39AF"/>
    <w:rsid w:val="12F7068C"/>
    <w:rsid w:val="14207DC0"/>
    <w:rsid w:val="14B932DA"/>
    <w:rsid w:val="150A66AF"/>
    <w:rsid w:val="154C1139"/>
    <w:rsid w:val="156B67CB"/>
    <w:rsid w:val="158C5B77"/>
    <w:rsid w:val="160D1149"/>
    <w:rsid w:val="163563C0"/>
    <w:rsid w:val="164315EF"/>
    <w:rsid w:val="16557DFE"/>
    <w:rsid w:val="167268FB"/>
    <w:rsid w:val="16770D0A"/>
    <w:rsid w:val="16D50C50"/>
    <w:rsid w:val="16E120E1"/>
    <w:rsid w:val="17385A05"/>
    <w:rsid w:val="173B3901"/>
    <w:rsid w:val="176747F9"/>
    <w:rsid w:val="177D6416"/>
    <w:rsid w:val="17954A6E"/>
    <w:rsid w:val="180059E9"/>
    <w:rsid w:val="184510FD"/>
    <w:rsid w:val="190648B0"/>
    <w:rsid w:val="19071D6C"/>
    <w:rsid w:val="19D26CD4"/>
    <w:rsid w:val="19E60D19"/>
    <w:rsid w:val="1A2C4D78"/>
    <w:rsid w:val="1A3E3450"/>
    <w:rsid w:val="1AD807E5"/>
    <w:rsid w:val="1B0A7C6C"/>
    <w:rsid w:val="1B39345B"/>
    <w:rsid w:val="1BE069CA"/>
    <w:rsid w:val="1BFB2A1F"/>
    <w:rsid w:val="1C015D4A"/>
    <w:rsid w:val="1C290ED5"/>
    <w:rsid w:val="1C317E4F"/>
    <w:rsid w:val="1C472464"/>
    <w:rsid w:val="1D22799A"/>
    <w:rsid w:val="1D5C1A72"/>
    <w:rsid w:val="1DAF458D"/>
    <w:rsid w:val="1E086ACE"/>
    <w:rsid w:val="1E62130A"/>
    <w:rsid w:val="1E97358B"/>
    <w:rsid w:val="1EAA4A5F"/>
    <w:rsid w:val="1EE869A7"/>
    <w:rsid w:val="1F7A3CB3"/>
    <w:rsid w:val="1FA15E62"/>
    <w:rsid w:val="1FED69B6"/>
    <w:rsid w:val="2064678E"/>
    <w:rsid w:val="20DC1AB9"/>
    <w:rsid w:val="20DD6197"/>
    <w:rsid w:val="211C305E"/>
    <w:rsid w:val="212631E0"/>
    <w:rsid w:val="212A5BF7"/>
    <w:rsid w:val="21A53757"/>
    <w:rsid w:val="221236C6"/>
    <w:rsid w:val="22D7662C"/>
    <w:rsid w:val="23326B7F"/>
    <w:rsid w:val="2380045B"/>
    <w:rsid w:val="23BC04D2"/>
    <w:rsid w:val="23EF1892"/>
    <w:rsid w:val="2483647E"/>
    <w:rsid w:val="24A32D55"/>
    <w:rsid w:val="25292727"/>
    <w:rsid w:val="252E5CA9"/>
    <w:rsid w:val="256F7692"/>
    <w:rsid w:val="25BA2154"/>
    <w:rsid w:val="25C8773F"/>
    <w:rsid w:val="264A7253"/>
    <w:rsid w:val="26F0170C"/>
    <w:rsid w:val="27201D62"/>
    <w:rsid w:val="27286E73"/>
    <w:rsid w:val="27CF2642"/>
    <w:rsid w:val="27E777F5"/>
    <w:rsid w:val="27EA1D4C"/>
    <w:rsid w:val="27EA2E41"/>
    <w:rsid w:val="282459E2"/>
    <w:rsid w:val="283A7FE5"/>
    <w:rsid w:val="285F51FF"/>
    <w:rsid w:val="28DF2665"/>
    <w:rsid w:val="29072599"/>
    <w:rsid w:val="291029F3"/>
    <w:rsid w:val="29CB58F0"/>
    <w:rsid w:val="2A053397"/>
    <w:rsid w:val="2A145E96"/>
    <w:rsid w:val="2A2131BB"/>
    <w:rsid w:val="2AF5378F"/>
    <w:rsid w:val="2BB94DBF"/>
    <w:rsid w:val="2C3A77C8"/>
    <w:rsid w:val="2C6F314E"/>
    <w:rsid w:val="2CC206BE"/>
    <w:rsid w:val="2D1136DF"/>
    <w:rsid w:val="2D20606D"/>
    <w:rsid w:val="2DB87198"/>
    <w:rsid w:val="2DB93C54"/>
    <w:rsid w:val="2E3D144C"/>
    <w:rsid w:val="2E891204"/>
    <w:rsid w:val="2F3F0A28"/>
    <w:rsid w:val="2FBF7029"/>
    <w:rsid w:val="2FD0187F"/>
    <w:rsid w:val="2FD27414"/>
    <w:rsid w:val="2FFE4BB0"/>
    <w:rsid w:val="300E7B60"/>
    <w:rsid w:val="300F6E18"/>
    <w:rsid w:val="30862F5F"/>
    <w:rsid w:val="314029C9"/>
    <w:rsid w:val="31C63837"/>
    <w:rsid w:val="31C82E39"/>
    <w:rsid w:val="32601BAD"/>
    <w:rsid w:val="329F6389"/>
    <w:rsid w:val="3389023A"/>
    <w:rsid w:val="33CB74FA"/>
    <w:rsid w:val="343642F2"/>
    <w:rsid w:val="343F3010"/>
    <w:rsid w:val="345D0A00"/>
    <w:rsid w:val="34713BFD"/>
    <w:rsid w:val="34C13589"/>
    <w:rsid w:val="353369E3"/>
    <w:rsid w:val="35B21E0B"/>
    <w:rsid w:val="35E00D72"/>
    <w:rsid w:val="36965B9D"/>
    <w:rsid w:val="36C549FD"/>
    <w:rsid w:val="37A755DD"/>
    <w:rsid w:val="37F94FA0"/>
    <w:rsid w:val="380D3381"/>
    <w:rsid w:val="38115B1F"/>
    <w:rsid w:val="385E3AC3"/>
    <w:rsid w:val="387D6B9E"/>
    <w:rsid w:val="38B75FF0"/>
    <w:rsid w:val="38D45016"/>
    <w:rsid w:val="38D90432"/>
    <w:rsid w:val="3914510A"/>
    <w:rsid w:val="3926770B"/>
    <w:rsid w:val="398D3668"/>
    <w:rsid w:val="39DA0497"/>
    <w:rsid w:val="3A893816"/>
    <w:rsid w:val="3A893B6D"/>
    <w:rsid w:val="3AD1763A"/>
    <w:rsid w:val="3B6716E3"/>
    <w:rsid w:val="3B6C6B2D"/>
    <w:rsid w:val="3C242659"/>
    <w:rsid w:val="3C96719C"/>
    <w:rsid w:val="3CA72BE8"/>
    <w:rsid w:val="3CF37F8C"/>
    <w:rsid w:val="3D137554"/>
    <w:rsid w:val="3D5275AC"/>
    <w:rsid w:val="3DCC2473"/>
    <w:rsid w:val="3DEB0883"/>
    <w:rsid w:val="3E2527BF"/>
    <w:rsid w:val="3E731662"/>
    <w:rsid w:val="3E8168DD"/>
    <w:rsid w:val="3EA7725F"/>
    <w:rsid w:val="3EB03713"/>
    <w:rsid w:val="3EBF1A11"/>
    <w:rsid w:val="3EC52607"/>
    <w:rsid w:val="3EEC6CEF"/>
    <w:rsid w:val="3F183429"/>
    <w:rsid w:val="3FB77A1D"/>
    <w:rsid w:val="3FDC3674"/>
    <w:rsid w:val="3FED7F8A"/>
    <w:rsid w:val="40094AEF"/>
    <w:rsid w:val="405470BD"/>
    <w:rsid w:val="40794A29"/>
    <w:rsid w:val="40834692"/>
    <w:rsid w:val="41431AD5"/>
    <w:rsid w:val="414B3C0F"/>
    <w:rsid w:val="417C1CE7"/>
    <w:rsid w:val="41900018"/>
    <w:rsid w:val="41944406"/>
    <w:rsid w:val="41CE128F"/>
    <w:rsid w:val="41DA6F12"/>
    <w:rsid w:val="42171FB1"/>
    <w:rsid w:val="434E6957"/>
    <w:rsid w:val="43BA0E31"/>
    <w:rsid w:val="43C15147"/>
    <w:rsid w:val="43E14DD2"/>
    <w:rsid w:val="43F800E9"/>
    <w:rsid w:val="44221573"/>
    <w:rsid w:val="443A7E4B"/>
    <w:rsid w:val="452F5B3A"/>
    <w:rsid w:val="454E7FD2"/>
    <w:rsid w:val="46061BDC"/>
    <w:rsid w:val="461404F8"/>
    <w:rsid w:val="46413018"/>
    <w:rsid w:val="464B7E04"/>
    <w:rsid w:val="468041AA"/>
    <w:rsid w:val="468123C6"/>
    <w:rsid w:val="46901EEE"/>
    <w:rsid w:val="469C74D2"/>
    <w:rsid w:val="47445515"/>
    <w:rsid w:val="474B4782"/>
    <w:rsid w:val="47D90D14"/>
    <w:rsid w:val="48387FB0"/>
    <w:rsid w:val="483A6114"/>
    <w:rsid w:val="488727DB"/>
    <w:rsid w:val="48B82268"/>
    <w:rsid w:val="48C354B3"/>
    <w:rsid w:val="49374FBE"/>
    <w:rsid w:val="493D58B5"/>
    <w:rsid w:val="494A7A04"/>
    <w:rsid w:val="4A0A26D2"/>
    <w:rsid w:val="4A2019A5"/>
    <w:rsid w:val="4A241A0B"/>
    <w:rsid w:val="4A7B2875"/>
    <w:rsid w:val="4A934476"/>
    <w:rsid w:val="4AAA220A"/>
    <w:rsid w:val="4AC00034"/>
    <w:rsid w:val="4AE12E67"/>
    <w:rsid w:val="4B4C0111"/>
    <w:rsid w:val="4B8553A9"/>
    <w:rsid w:val="4BDB3730"/>
    <w:rsid w:val="4C200F7A"/>
    <w:rsid w:val="4CEE3180"/>
    <w:rsid w:val="4D0F4AF6"/>
    <w:rsid w:val="4DF94F37"/>
    <w:rsid w:val="4E0A1DD5"/>
    <w:rsid w:val="4E3160E5"/>
    <w:rsid w:val="4E4D37AF"/>
    <w:rsid w:val="4E8C6496"/>
    <w:rsid w:val="4EFD18DE"/>
    <w:rsid w:val="4F144236"/>
    <w:rsid w:val="4F663C87"/>
    <w:rsid w:val="4F7E29A8"/>
    <w:rsid w:val="4F9E1FFC"/>
    <w:rsid w:val="4FBE4C6F"/>
    <w:rsid w:val="50447CC2"/>
    <w:rsid w:val="50874A7C"/>
    <w:rsid w:val="50895EE7"/>
    <w:rsid w:val="50921B9D"/>
    <w:rsid w:val="50D16158"/>
    <w:rsid w:val="50DB5F45"/>
    <w:rsid w:val="51025EB1"/>
    <w:rsid w:val="51141503"/>
    <w:rsid w:val="518D0ED5"/>
    <w:rsid w:val="51B76F1C"/>
    <w:rsid w:val="51D92BF6"/>
    <w:rsid w:val="525C687F"/>
    <w:rsid w:val="52F647F7"/>
    <w:rsid w:val="52F92565"/>
    <w:rsid w:val="53D03877"/>
    <w:rsid w:val="542F73CA"/>
    <w:rsid w:val="5430786D"/>
    <w:rsid w:val="545A1D2A"/>
    <w:rsid w:val="54C811C0"/>
    <w:rsid w:val="556A442D"/>
    <w:rsid w:val="55DA564E"/>
    <w:rsid w:val="55E816A3"/>
    <w:rsid w:val="5604127D"/>
    <w:rsid w:val="56166703"/>
    <w:rsid w:val="56510474"/>
    <w:rsid w:val="56861525"/>
    <w:rsid w:val="56A93273"/>
    <w:rsid w:val="56BD550C"/>
    <w:rsid w:val="56E07045"/>
    <w:rsid w:val="56FF28AF"/>
    <w:rsid w:val="57540E7D"/>
    <w:rsid w:val="577B4878"/>
    <w:rsid w:val="57926973"/>
    <w:rsid w:val="57FC65C2"/>
    <w:rsid w:val="58175352"/>
    <w:rsid w:val="58175C92"/>
    <w:rsid w:val="581F2200"/>
    <w:rsid w:val="583059FA"/>
    <w:rsid w:val="584A0929"/>
    <w:rsid w:val="58CD2491"/>
    <w:rsid w:val="591B41B2"/>
    <w:rsid w:val="59254A26"/>
    <w:rsid w:val="59326325"/>
    <w:rsid w:val="595C505B"/>
    <w:rsid w:val="595E55C3"/>
    <w:rsid w:val="596E7E20"/>
    <w:rsid w:val="5A60780B"/>
    <w:rsid w:val="5AB34579"/>
    <w:rsid w:val="5AFC6609"/>
    <w:rsid w:val="5B113480"/>
    <w:rsid w:val="5BD456CE"/>
    <w:rsid w:val="5C0D1F49"/>
    <w:rsid w:val="5CB36BF9"/>
    <w:rsid w:val="5CBB0CE2"/>
    <w:rsid w:val="5CC17177"/>
    <w:rsid w:val="5CF306BC"/>
    <w:rsid w:val="5D3F3D64"/>
    <w:rsid w:val="5D833043"/>
    <w:rsid w:val="5DD92690"/>
    <w:rsid w:val="5DDB1CFD"/>
    <w:rsid w:val="5E7E6D93"/>
    <w:rsid w:val="5ED44800"/>
    <w:rsid w:val="5F350BDE"/>
    <w:rsid w:val="5F61632C"/>
    <w:rsid w:val="5FA17648"/>
    <w:rsid w:val="5FE705CB"/>
    <w:rsid w:val="603D5080"/>
    <w:rsid w:val="60D0261B"/>
    <w:rsid w:val="618E3791"/>
    <w:rsid w:val="61947DCA"/>
    <w:rsid w:val="61A46A97"/>
    <w:rsid w:val="61D1382F"/>
    <w:rsid w:val="61F114A2"/>
    <w:rsid w:val="622B0ABA"/>
    <w:rsid w:val="623F4C34"/>
    <w:rsid w:val="62512BB4"/>
    <w:rsid w:val="625D7D1A"/>
    <w:rsid w:val="62DD7D21"/>
    <w:rsid w:val="637D586B"/>
    <w:rsid w:val="63A5560B"/>
    <w:rsid w:val="63E9091F"/>
    <w:rsid w:val="64322AF9"/>
    <w:rsid w:val="64551176"/>
    <w:rsid w:val="64D6010D"/>
    <w:rsid w:val="64D82665"/>
    <w:rsid w:val="64E47C96"/>
    <w:rsid w:val="64E50514"/>
    <w:rsid w:val="651E5741"/>
    <w:rsid w:val="658A4877"/>
    <w:rsid w:val="65A00902"/>
    <w:rsid w:val="65AC6EDD"/>
    <w:rsid w:val="65D97752"/>
    <w:rsid w:val="66085536"/>
    <w:rsid w:val="66105BF7"/>
    <w:rsid w:val="66150023"/>
    <w:rsid w:val="6628010D"/>
    <w:rsid w:val="669B4528"/>
    <w:rsid w:val="66CC12D7"/>
    <w:rsid w:val="67134CEF"/>
    <w:rsid w:val="671F1ABD"/>
    <w:rsid w:val="67521A59"/>
    <w:rsid w:val="67C304AB"/>
    <w:rsid w:val="683F0658"/>
    <w:rsid w:val="689C6793"/>
    <w:rsid w:val="68DB0208"/>
    <w:rsid w:val="68FB170C"/>
    <w:rsid w:val="691B3D98"/>
    <w:rsid w:val="693748F0"/>
    <w:rsid w:val="694A55A6"/>
    <w:rsid w:val="69846A0E"/>
    <w:rsid w:val="69AA1366"/>
    <w:rsid w:val="69AD798C"/>
    <w:rsid w:val="69D005C0"/>
    <w:rsid w:val="69D80B96"/>
    <w:rsid w:val="69ED2D94"/>
    <w:rsid w:val="6A703DAE"/>
    <w:rsid w:val="6B68175F"/>
    <w:rsid w:val="6BFD799F"/>
    <w:rsid w:val="6C4A2E5A"/>
    <w:rsid w:val="6C8138D0"/>
    <w:rsid w:val="6CEF0725"/>
    <w:rsid w:val="6D4B2604"/>
    <w:rsid w:val="6D8030E4"/>
    <w:rsid w:val="6E0E35C4"/>
    <w:rsid w:val="6E0F7A08"/>
    <w:rsid w:val="6E3947F5"/>
    <w:rsid w:val="6E6E3938"/>
    <w:rsid w:val="6E9C74ED"/>
    <w:rsid w:val="6EF72976"/>
    <w:rsid w:val="6F795A80"/>
    <w:rsid w:val="6F7C1D2E"/>
    <w:rsid w:val="6F8E0407"/>
    <w:rsid w:val="6FDD069F"/>
    <w:rsid w:val="702B4D16"/>
    <w:rsid w:val="70AA6621"/>
    <w:rsid w:val="7111480F"/>
    <w:rsid w:val="71261F49"/>
    <w:rsid w:val="712E6956"/>
    <w:rsid w:val="71473612"/>
    <w:rsid w:val="71504F32"/>
    <w:rsid w:val="7152309F"/>
    <w:rsid w:val="718F7F65"/>
    <w:rsid w:val="727B234E"/>
    <w:rsid w:val="72D068C7"/>
    <w:rsid w:val="72D92B78"/>
    <w:rsid w:val="72E42ED8"/>
    <w:rsid w:val="735F4CB9"/>
    <w:rsid w:val="73674C62"/>
    <w:rsid w:val="737B57E0"/>
    <w:rsid w:val="73845865"/>
    <w:rsid w:val="739B6D9E"/>
    <w:rsid w:val="73BC1D76"/>
    <w:rsid w:val="73FB6630"/>
    <w:rsid w:val="748D790E"/>
    <w:rsid w:val="749820CC"/>
    <w:rsid w:val="74AF7282"/>
    <w:rsid w:val="74CE04EC"/>
    <w:rsid w:val="74E76DCD"/>
    <w:rsid w:val="751D7C0A"/>
    <w:rsid w:val="75722D56"/>
    <w:rsid w:val="75DB5477"/>
    <w:rsid w:val="75FC6AC3"/>
    <w:rsid w:val="7616619B"/>
    <w:rsid w:val="76660D7C"/>
    <w:rsid w:val="766C5968"/>
    <w:rsid w:val="76BE0C8F"/>
    <w:rsid w:val="76CD53B2"/>
    <w:rsid w:val="770719AC"/>
    <w:rsid w:val="776526CC"/>
    <w:rsid w:val="777A58A0"/>
    <w:rsid w:val="77A262E1"/>
    <w:rsid w:val="77B13C33"/>
    <w:rsid w:val="77DF57A9"/>
    <w:rsid w:val="77ED6F44"/>
    <w:rsid w:val="77F45548"/>
    <w:rsid w:val="784E7CA6"/>
    <w:rsid w:val="78574801"/>
    <w:rsid w:val="7873527F"/>
    <w:rsid w:val="78EE3C91"/>
    <w:rsid w:val="790A6425"/>
    <w:rsid w:val="790E2D96"/>
    <w:rsid w:val="791B54B2"/>
    <w:rsid w:val="795A0A34"/>
    <w:rsid w:val="797339C3"/>
    <w:rsid w:val="79D57D57"/>
    <w:rsid w:val="79F00650"/>
    <w:rsid w:val="7A6242BF"/>
    <w:rsid w:val="7A794513"/>
    <w:rsid w:val="7AE952D2"/>
    <w:rsid w:val="7C7248A0"/>
    <w:rsid w:val="7C976D69"/>
    <w:rsid w:val="7CD752DA"/>
    <w:rsid w:val="7CDE40AB"/>
    <w:rsid w:val="7CF057E2"/>
    <w:rsid w:val="7D1548B5"/>
    <w:rsid w:val="7DF84014"/>
    <w:rsid w:val="7E207949"/>
    <w:rsid w:val="7E5C0A47"/>
    <w:rsid w:val="7E670C75"/>
    <w:rsid w:val="7EE24272"/>
    <w:rsid w:val="7EEA6053"/>
    <w:rsid w:val="7F487C04"/>
    <w:rsid w:val="7FB45F21"/>
    <w:rsid w:val="7FE57088"/>
    <w:rsid w:val="7FF37F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qFormat/>
    <w:uiPriority w:val="1"/>
    <w:rPr>
      <w:rFonts w:ascii="仿宋_GB2312" w:hAnsi="仿宋_GB2312" w:eastAsia="仿宋_GB2312" w:cs="仿宋_GB2312"/>
      <w:sz w:val="28"/>
      <w:szCs w:val="28"/>
      <w:lang w:val="zh-CN" w:eastAsia="zh-CN" w:bidi="zh-CN"/>
    </w:rPr>
  </w:style>
  <w:style w:type="paragraph" w:styleId="4">
    <w:name w:val="toc 3"/>
    <w:basedOn w:val="1"/>
    <w:next w:val="1"/>
    <w:qFormat/>
    <w:uiPriority w:val="0"/>
    <w:pPr>
      <w:ind w:left="840" w:leftChars="4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styleId="9">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12">
    <w:name w:val="Strong"/>
    <w:basedOn w:val="11"/>
    <w:qFormat/>
    <w:uiPriority w:val="0"/>
    <w:rPr>
      <w:b/>
    </w:rPr>
  </w:style>
  <w:style w:type="paragraph" w:customStyle="1" w:styleId="13">
    <w:name w:val="WPSOffice手动目录 3"/>
    <w:qFormat/>
    <w:uiPriority w:val="0"/>
    <w:pPr>
      <w:ind w:leftChars="400"/>
    </w:pPr>
    <w:rPr>
      <w:rFonts w:ascii="Times New Roman" w:hAnsi="Times New Roman" w:eastAsia="宋体" w:cs="Times New Roman"/>
      <w:sz w:val="20"/>
      <w:szCs w:val="20"/>
    </w:rPr>
  </w:style>
  <w:style w:type="paragraph" w:customStyle="1" w:styleId="14">
    <w:name w:val="WPSOffice手动目录 2"/>
    <w:qFormat/>
    <w:uiPriority w:val="0"/>
    <w:pPr>
      <w:ind w:leftChars="200"/>
    </w:pPr>
    <w:rPr>
      <w:rFonts w:ascii="Times New Roman" w:hAnsi="Times New Roman" w:eastAsia="宋体" w:cs="Times New Roman"/>
      <w:sz w:val="20"/>
      <w:szCs w:val="20"/>
    </w:rPr>
  </w:style>
  <w:style w:type="paragraph" w:customStyle="1" w:styleId="15">
    <w:name w:val="WPSOffice手动目录 1"/>
    <w:qFormat/>
    <w:uiPriority w:val="0"/>
    <w:pPr>
      <w:ind w:leftChars="0"/>
    </w:pPr>
    <w:rPr>
      <w:rFonts w:ascii="Times New Roman" w:hAnsi="Times New Roman" w:eastAsia="宋体" w:cs="Times New Roman"/>
      <w:sz w:val="20"/>
      <w:szCs w:val="20"/>
    </w:rPr>
  </w:style>
  <w:style w:type="paragraph" w:styleId="16">
    <w:name w:val="List Paragraph"/>
    <w:basedOn w:val="1"/>
    <w:qFormat/>
    <w:uiPriority w:val="1"/>
    <w:pPr>
      <w:ind w:left="112" w:right="250" w:firstLine="561"/>
    </w:pPr>
    <w:rPr>
      <w:rFonts w:ascii="仿宋_GB2312" w:hAnsi="仿宋_GB2312" w:eastAsia="仿宋_GB2312" w:cs="仿宋_GB2312"/>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26</Pages>
  <Words>8537</Words>
  <Characters>9579</Characters>
  <Lines>0</Lines>
  <Paragraphs>0</Paragraphs>
  <TotalTime>3</TotalTime>
  <ScaleCrop>false</ScaleCrop>
  <LinksUpToDate>false</LinksUpToDate>
  <CharactersWithSpaces>9592</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GXR</dc:creator>
  <cp:lastModifiedBy>Administrator</cp:lastModifiedBy>
  <dcterms:modified xsi:type="dcterms:W3CDTF">2024-08-28T10:28:22Z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ICV">
    <vt:lpwstr>11A732A0C6F7416089946F1C9E0E386E</vt:lpwstr>
  </property>
  <property fmtid="{D5CDD505-2E9C-101B-9397-08002B2CF9AE}" pid="4" name="KSOSaveFontToCloudKey">
    <vt:lpwstr>378728392_embed</vt:lpwstr>
  </property>
</Properties>
</file>