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DDC0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32"/>
          <w:szCs w:val="32"/>
        </w:rPr>
      </w:pPr>
    </w:p>
    <w:p w14:paraId="4530AAF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400FC97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734D49F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宋体" w:eastAsia="宋体"/>
          <w:sz w:val="44"/>
          <w:szCs w:val="44"/>
        </w:rPr>
      </w:pPr>
    </w:p>
    <w:p w14:paraId="345C655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宋体" w:eastAsia="黑体"/>
          <w:b w:val="0"/>
          <w:sz w:val="44"/>
          <w:szCs w:val="44"/>
        </w:rPr>
      </w:pPr>
      <w:r>
        <w:rPr>
          <w:rFonts w:ascii="宋体" w:eastAsia="黑体"/>
          <w:b w:val="0"/>
          <w:sz w:val="44"/>
          <w:szCs w:val="44"/>
        </w:rPr>
        <w:t>新疆维吾尔自治区民族事务委员会</w:t>
      </w:r>
    </w:p>
    <w:p w14:paraId="1DCE48E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宋体" w:eastAsia="黑体"/>
          <w:sz w:val="44"/>
          <w:szCs w:val="44"/>
        </w:rPr>
      </w:pPr>
      <w:r>
        <w:rPr>
          <w:rFonts w:ascii="宋体" w:eastAsia="黑体"/>
          <w:b w:val="0"/>
          <w:sz w:val="44"/>
          <w:szCs w:val="44"/>
        </w:rPr>
        <w:t>（宗教事务局）</w:t>
      </w:r>
    </w:p>
    <w:p w14:paraId="6C91C54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44"/>
          <w:szCs w:val="44"/>
        </w:rPr>
      </w:pPr>
      <w:r>
        <w:rPr>
          <w:rFonts w:ascii="黑体" w:eastAsia="黑体"/>
          <w:b w:val="0"/>
          <w:sz w:val="44"/>
          <w:szCs w:val="44"/>
        </w:rPr>
        <w:t>2024年度部门决算公开说明</w:t>
      </w:r>
    </w:p>
    <w:p w14:paraId="1F5C09EF">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056AAB3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ascii="黑体" w:eastAsia="黑体"/>
          <w:sz w:val="32"/>
          <w:szCs w:val="32"/>
        </w:rPr>
      </w:pPr>
      <w:r>
        <w:rPr>
          <w:rFonts w:ascii="黑体" w:eastAsia="黑体"/>
          <w:b/>
          <w:sz w:val="32"/>
          <w:szCs w:val="32"/>
        </w:rPr>
        <w:t>目  录</w:t>
      </w:r>
    </w:p>
    <w:p w14:paraId="2E3AA33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14:paraId="0EC5B21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14:paraId="050E9B7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14:paraId="6CB3C26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第二部分 部门决算情况说明</w:t>
      </w:r>
    </w:p>
    <w:p w14:paraId="289FB1B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14:paraId="2497F72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14:paraId="7A7CA6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14:paraId="25CC762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14:paraId="3BBC22D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14:paraId="75BD3B8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14:paraId="2C8DDB4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14:paraId="3FE021D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14:paraId="01A4976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14:paraId="1F838C5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14:paraId="2793A28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4B58645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九、财政拨款“三公”经费支出决算情况说明</w:t>
      </w:r>
    </w:p>
    <w:p w14:paraId="2176BFC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14:paraId="71D68A1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14:paraId="68AADF6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14:paraId="0318989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14:paraId="165B16F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14:paraId="345FE2A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14:paraId="423D1A5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第三部分 专业名词解释</w:t>
      </w:r>
    </w:p>
    <w:p w14:paraId="1B9FB4A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sz w:val="32"/>
          <w:szCs w:val="32"/>
        </w:rPr>
        <w:t>第四部分 部门决算报表（见附表）</w:t>
      </w:r>
    </w:p>
    <w:p w14:paraId="7E6D4B6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14:paraId="531408F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14:paraId="5C27A54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14:paraId="4FA407A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14:paraId="05CBF2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14:paraId="16E04C7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14:paraId="4EA969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14:paraId="25548E7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14:paraId="0895625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九、《财政拨款“三公”经费支出决算表》</w:t>
      </w:r>
    </w:p>
    <w:p w14:paraId="7B51DB25">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1CEB751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第一部分 单位概况</w:t>
      </w:r>
    </w:p>
    <w:p w14:paraId="274CD87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 一、主要职能</w:t>
      </w:r>
    </w:p>
    <w:p w14:paraId="51D584F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自治区民委负责贯彻落实党中央关于民族工作的方针政策、决策部署，完整准确全面贯彻新时代党的治疆方略，坚持以铸牢中华民族共同体意识为主线</w:t>
      </w:r>
      <w:r>
        <w:rPr>
          <w:rFonts w:hint="eastAsia" w:ascii="仿宋_GB2312" w:eastAsia="仿宋_GB2312"/>
          <w:b w:val="0"/>
          <w:sz w:val="32"/>
          <w:szCs w:val="32"/>
          <w:lang w:eastAsia="zh-CN"/>
        </w:rPr>
        <w:t>，</w:t>
      </w:r>
      <w:r>
        <w:rPr>
          <w:rFonts w:ascii="仿宋_GB2312" w:eastAsia="仿宋_GB2312"/>
          <w:b w:val="0"/>
          <w:sz w:val="32"/>
          <w:szCs w:val="32"/>
        </w:rPr>
        <w:t>贯彻落实自治区党委工作要求，组织开展民族理论和政策、民族工作和新时代党的治疆方略重大问题的调查研究，起草民族工作地方性法规、规章草案和政策规定，推进中华民族共有精神家园建设、促进各民族交往交流交融、推动各民族共同走向社会主义现代化、提升民族事务治理体系和治理能力现代化、加强民族领域重大风险隐患防范化解等工作。</w:t>
      </w:r>
    </w:p>
    <w:p w14:paraId="2422238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14:paraId="48B16DC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新疆维吾尔自治区民族事务委员会（宗教事务局）2024年度，实有人数129人，其中：在职人员55人，减少25人；离休人员0人，减少2人；退休人员74人，增加9人。</w:t>
      </w:r>
    </w:p>
    <w:p w14:paraId="2F1C5F9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新疆维吾尔自治区民族事务委员会（宗教事务局）无下属预算单位</w:t>
      </w:r>
      <w:r>
        <w:rPr>
          <w:rFonts w:hint="eastAsia" w:ascii="仿宋_GB2312" w:eastAsia="仿宋_GB2312"/>
          <w:b w:val="0"/>
          <w:sz w:val="32"/>
          <w:szCs w:val="32"/>
          <w:lang w:eastAsia="zh-CN"/>
        </w:rPr>
        <w:t>，</w:t>
      </w:r>
      <w:r>
        <w:rPr>
          <w:rFonts w:ascii="仿宋_GB2312" w:eastAsia="仿宋_GB2312"/>
          <w:b w:val="0"/>
          <w:sz w:val="32"/>
          <w:szCs w:val="32"/>
        </w:rPr>
        <w:t>下设11个处室，分别是：办公室、协调推进处、政策法规和理论研究处、民族团结促进处、共同发展处、文化宣传处、教育处、对外交流处、人事处、机关党委（机关纪委）、离退休干部工作处。</w:t>
      </w:r>
    </w:p>
    <w:p w14:paraId="0AC91F4A">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71A5D95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第二部分 部门决算情况说明</w:t>
      </w:r>
    </w:p>
    <w:p w14:paraId="07857C9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14:paraId="0832A62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2024年度收入总计3,097.57万元，其中：本年收入合计2,978.02万元，使用非财政拨款结余（含专用结余）0.00万元，年初结转和结余119.55万元。</w:t>
      </w:r>
    </w:p>
    <w:p w14:paraId="06A4ECD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2024年度支出总计3,097.57万元，其中：本年支出合计2,999.60万元，结余分配0.00万元，年末结转和结余97.97万元。</w:t>
      </w:r>
    </w:p>
    <w:p w14:paraId="090A8A1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减少1,551.24万元，下降33.37%，主要原因是：一是因机构改革，本年人员较上年大幅减少，人员工资福利及日常公用经费等支出减少；二是因机构改革相关部门职能转隶，民族工作及培训专项经费较上年减少；三是离休人员去世，离休人员经费较上年减少；四是非财政资金收入较上年减少。</w:t>
      </w:r>
    </w:p>
    <w:p w14:paraId="4619788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14:paraId="0E43EC9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本年收入2,978.02万元，其中：财政拨款收入2,859.84万元,占96.03%；上级补助收入0.00万元,占0.00%；事业收入0.00万元，占0.00%；经营收入0.00万元,占0.00%；附属单位上缴收入0.00万元，占0.00%；其他收入118.18万元，占3.97%。</w:t>
      </w:r>
    </w:p>
    <w:p w14:paraId="55BC1A2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14:paraId="79AFAF8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本年支出2,999.60万元，其中：基本支出2,225.15万元，占74.18%；项目支出774.45万元，占25.82%；上缴上级支出0.00万元，占0.00%；经营支出0.00万元，占0.00%；对附属单位补助支出0.00万元，占0.00%。</w:t>
      </w:r>
    </w:p>
    <w:p w14:paraId="1140789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14:paraId="2F49C0E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收入总计2,859.84万元，其中：年初财政拨款结转和结余0.00万元，本年财政拨款收入2,859.84万元。财政拨款支出总计2,859.84万元，其中：年末财政拨款结转和结余79.71万元，本年财政拨款支出2,780.14万元。</w:t>
      </w:r>
    </w:p>
    <w:p w14:paraId="6A7E68A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减少1,384.20万元，下降32.62%，主要原因是：一是因机构改革，本年人员较上年大幅减少，人员工资福利及日常公用经费等支出减少；二是因机构改革相关部门职能转隶，民族工作及培训专项经费较上年减少；三是离休人员去世，离休人员经费较上年减少。与年初预算相比，年初预算数2,670.01万元，决算数2,859.84万元，预决算差异率7.11%，主要原因是：一是因机构改革，本年人员较上年大幅减少，人员工资福利及日常公用经费等支出减少；二是因机构改革相关部门职能转隶，民族工作及培训专项经费较上年减少；三是年中业务事项增加，追加第十二届全国少数民族运动会、新财行[2024]8号、职业年金、丧葬抚恤金等经费，项目经费支出增加；经核算，追加经费大于因机构改革减少的经费，造成当年决算数大于预算数。</w:t>
      </w:r>
    </w:p>
    <w:p w14:paraId="5050B29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14:paraId="6624FBB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sz w:val="32"/>
          <w:szCs w:val="32"/>
        </w:rPr>
      </w:pPr>
      <w:r>
        <w:rPr>
          <w:rFonts w:ascii="黑体" w:eastAsia="黑体"/>
          <w:b w:val="0"/>
          <w:sz w:val="32"/>
          <w:szCs w:val="32"/>
        </w:rPr>
        <w:t>（一）一般公共预算财政拨款支出决算总体情况</w:t>
      </w:r>
    </w:p>
    <w:p w14:paraId="2F48AC2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支出2,780.14万元，占本年支出合计的92.68%。与上年相比，减少1,463.90万元，下降34.49%，主要原因是：一是因机构改革，本年人员较上年大幅减少，人员工资福利及日常公用经费等支出减少；二是因机构改革相关部门职能转隶，民族工作及培训专项经费较上年减少；三是离休人员去世，离休人员经费较上年减少。与年初预算相比，年初预算数2,670.01万元，决算数2,780.14万元，预决算差异率4.12%，主要原因是：一是因机构改革，本年人员较上年大幅减少，人员工资福利及日常公用经费等支出减少；二是因机构改革相关部门职能转隶，民族工作及培训专项经费较上年减少；三是年中业务事项增加，追加第十二届全国少数民族运动会、新财行[2024]8号、职业年金、丧葬抚恤金等经费，项目经费支出增加；经核算，追加经费大于因机构改革减少的经费，造成当年决算数大于预算数。</w:t>
      </w:r>
    </w:p>
    <w:p w14:paraId="49FCAF2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sz w:val="32"/>
          <w:szCs w:val="32"/>
        </w:rPr>
      </w:pPr>
      <w:r>
        <w:rPr>
          <w:rFonts w:ascii="黑体" w:eastAsia="黑体"/>
          <w:b w:val="0"/>
          <w:sz w:val="32"/>
          <w:szCs w:val="32"/>
        </w:rPr>
        <w:t>（二）一般公共预算财政拨款支出决算结构情况</w:t>
      </w:r>
    </w:p>
    <w:p w14:paraId="4C80433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一般公共服务支出（类）2,186.24万元，占78.64%。</w:t>
      </w:r>
    </w:p>
    <w:p w14:paraId="3BDF768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社会保障和就业支出（类）380.80万元，占13.70%。</w:t>
      </w:r>
    </w:p>
    <w:p w14:paraId="0DAC2AB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卫生健康支出（类）115.09万元，占4.14%。</w:t>
      </w:r>
    </w:p>
    <w:p w14:paraId="4328CCC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住房保障支出（类）98.01万元，占3.53%。</w:t>
      </w:r>
    </w:p>
    <w:p w14:paraId="55D4C88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sz w:val="32"/>
          <w:szCs w:val="32"/>
        </w:rPr>
      </w:pPr>
      <w:r>
        <w:rPr>
          <w:rFonts w:ascii="黑体" w:eastAsia="黑体"/>
          <w:b w:val="0"/>
          <w:sz w:val="32"/>
          <w:szCs w:val="32"/>
        </w:rPr>
        <w:t>（三）一般公共预算财政拨款支出决算具体情况</w:t>
      </w:r>
    </w:p>
    <w:p w14:paraId="7F4F638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distribute"/>
        <w:textAlignment w:val="auto"/>
        <w:rPr>
          <w:rFonts w:ascii="仿宋_GB2312" w:eastAsia="仿宋_GB2312"/>
          <w:sz w:val="32"/>
          <w:szCs w:val="32"/>
        </w:rPr>
      </w:pPr>
      <w:r>
        <w:rPr>
          <w:rFonts w:ascii="仿宋_GB2312" w:eastAsia="仿宋_GB2312"/>
          <w:b w:val="0"/>
          <w:sz w:val="32"/>
          <w:szCs w:val="32"/>
        </w:rPr>
        <w:t>1、一般公共服务支出（类）民族事务（款）行政运行</w:t>
      </w:r>
      <w:r>
        <w:rPr>
          <w:rFonts w:hint="eastAsia" w:ascii="仿宋_GB2312" w:eastAsia="仿宋_GB2312"/>
          <w:b w:val="0"/>
          <w:sz w:val="32"/>
          <w:szCs w:val="32"/>
          <w:lang w:eastAsia="zh-CN"/>
        </w:rPr>
        <w:t>（</w:t>
      </w:r>
      <w:r>
        <w:rPr>
          <w:rFonts w:ascii="仿宋_GB2312" w:eastAsia="仿宋_GB2312"/>
          <w:b w:val="0"/>
          <w:sz w:val="32"/>
          <w:szCs w:val="32"/>
        </w:rPr>
        <w:t>项）：支出决算数为1,631.25万元，比上年决算减少384.43万元，下降19.07%，主要原因是：因机构改革，本年人员较上年大幅减少，人员工资福利及日常公用经费等支出减少。</w:t>
      </w:r>
    </w:p>
    <w:p w14:paraId="4FC4144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2、一般公共服务支出（类）民族事务（款）一般行政管理事务（项）：支出决算数为0.00万元，比上年决算减少7.00万元，下降100.00%，主要原因是：2023年7.00万元为当年追加的新疆骨干人才研修项目经费，2024年无此项目支出。</w:t>
      </w:r>
    </w:p>
    <w:p w14:paraId="153764C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3、一般公共服务支出（类）民族事务（款）民族工作专项（项）：支出决算数为0.00万元，比上年决算减少35.64万元，下降100.00%，主要原因是：2023年35.64万元为当年追加的人才发展基金项目经费，2024年无此项目支出。</w:t>
      </w:r>
    </w:p>
    <w:p w14:paraId="2571DF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distribute"/>
        <w:textAlignment w:val="auto"/>
        <w:rPr>
          <w:rFonts w:ascii="仿宋_GB2312" w:eastAsia="仿宋_GB2312"/>
          <w:sz w:val="32"/>
          <w:szCs w:val="32"/>
        </w:rPr>
      </w:pPr>
      <w:r>
        <w:rPr>
          <w:rFonts w:ascii="仿宋_GB2312" w:eastAsia="仿宋_GB2312"/>
          <w:b w:val="0"/>
          <w:sz w:val="32"/>
          <w:szCs w:val="32"/>
        </w:rPr>
        <w:t>4、一般公共服务支出（类）民族事务（款）其他民族事务支出（项）：支出决算数为487.85万元，比上年决算减少794.95万元，下降61.97%，主要原因是：一是因机构改革相关部门职能转隶，民族工作及培训专项经费较上年减少；二是业务事项减少，较上年追加的用于民族事务支出的项目经费减少。</w:t>
      </w:r>
    </w:p>
    <w:p w14:paraId="5A420CB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5、一般公共服务支出（类）统战事务（款）其他统战事务支出（项）：支出决算数为67.14万元，比上年决算减少2.08万元，下降3.00%，主要原因是：因机构改革相关部门职能转隶，其他统战事务支出减少。</w:t>
      </w:r>
    </w:p>
    <w:p w14:paraId="2E03F30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6、社会保障和就业支出（类）行政事业单位养老支出（款）行政单位离退休（项）：支出决算数为168.11万元，比上年决算减少17.14万元</w:t>
      </w:r>
      <w:r>
        <w:rPr>
          <w:rFonts w:hint="eastAsia" w:ascii="仿宋_GB2312" w:eastAsia="仿宋_GB2312"/>
          <w:b w:val="0"/>
          <w:sz w:val="32"/>
          <w:szCs w:val="32"/>
          <w:lang w:eastAsia="zh-CN"/>
        </w:rPr>
        <w:t>，</w:t>
      </w:r>
      <w:r>
        <w:rPr>
          <w:rFonts w:ascii="仿宋_GB2312" w:eastAsia="仿宋_GB2312"/>
          <w:b w:val="0"/>
          <w:sz w:val="32"/>
          <w:szCs w:val="32"/>
        </w:rPr>
        <w:t>下降9.25%，主要原因是：离休人员去世，离休人员经费较上年减少。</w:t>
      </w:r>
    </w:p>
    <w:p w14:paraId="65186CB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7、社会保障和就业支出（类）行政事业单位养老支出（款）机关事业单位基本养老保险缴费支出（项）：支出决算数为120.62万元，比上年决算减少66.37万元，下降35.49%，主要原因是：因机构改革，本年人员较上年大幅减少，行政事业单位基本养老保险缴费支出减少。</w:t>
      </w:r>
    </w:p>
    <w:p w14:paraId="2820EBF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8、社会保障和就业支出（类）行政事业单位养老支出（款）机关事业单位职业年金缴费支出（项）：支出决算数为92.07万元，比上年决算减少40.48万元，下降30.54%，主要原因是：本年在职转退休人员较上年减少，追加的职业年金缴费支出减少。</w:t>
      </w:r>
    </w:p>
    <w:p w14:paraId="3143810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9、卫生健康支出（类）行政事业单位医疗（款）行政单位医疗（项）：支出决算数为54.29万元，比上年决算减少33.36万元，下降38.06%，主要原因是：因机构改革，本年人员较上年大幅减少，行政单位医疗缴费支出减少。</w:t>
      </w:r>
    </w:p>
    <w:p w14:paraId="5430F69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10、卫生健康支出（类）行政事业单位医疗（款）公务员医疗补助（项）：支出决算数为60.80万元，比上年决算减少21.01万元，下降25.68%，主要原因是：因机构改革，本年人员较上年大幅减少，公务员医疗补助支出减少。</w:t>
      </w:r>
    </w:p>
    <w:p w14:paraId="48C98A2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11、节能环保支出（类）能源节约利用（款）能源节约利用（项）：支出决算数为0.00万元，比上年决算减少19.22万元，下降100.00%，主要原因是：2023年19.22万元为当年追加的绿色食堂示范项目经费，2024年无此项目支出。</w:t>
      </w:r>
    </w:p>
    <w:p w14:paraId="61176B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12、住房保障支出（类）住房改革支出（款）住房公积金（项）：支出决算数为98.01万元，比上年决算减少42.23万元，下降30.11%，主要原因是：因机构改革，本年人员较上年大幅减少，住房公积金支出减少。</w:t>
      </w:r>
    </w:p>
    <w:p w14:paraId="675DA00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14:paraId="6645FB4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一般公共预算财政拨款基本支出2,225.15万元，其中：人员经费1,926.22万元，包括：基本工资、津贴补贴、奖金、机关事业单位基本养老保险缴费、职业年金缴费、职工基本医疗保险缴费、公务员医疗补助缴费、其他社会保障缴费、住房公积金、其他工资福利支出、离休费、退休费、抚恤金、生活补助和其他对个人和家庭的补助。</w:t>
      </w:r>
    </w:p>
    <w:p w14:paraId="47EBBD5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公用经费298.93万元，包括：办公费、水费、电费、邮电费、取暖费、物业管理费、差旅费、公务接待费、工会经费、福利费、公务用车运行维护费和其他商品和服务支出。</w:t>
      </w:r>
    </w:p>
    <w:p w14:paraId="7B828A2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14:paraId="68076B3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3C0E8CA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14:paraId="09ED89D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1BD4AB9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14:paraId="5802116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财政拨款“三公”经费支出79.03万元，比上年增加37.09万元，增长88.44%，主要原因是：一是根据工作需要，追加因公出国（境）费37.03万元；二是因公务接待批次增加，接待费用增加0.06万元。其中：因公出国（境）费支出37.03万元,占46.86%，比上年增加37.03万元，增长100%，主要原因是：根据工作需要，追加因公出国（境）费37.03万元；公务用车购置及运行维护费支出39.00万元，占49.35%，与上年相比无变化，主要原因是：坚持厉行节约、精打细算，坚持“三公”经费只减不增；公务接待费支出3.00万元，占3.80%，比上年增加0.06万元，增长2.04%，主要原因是：因公务接待批次增加，接待费用增加但未超年初预算。</w:t>
      </w:r>
    </w:p>
    <w:p w14:paraId="30F9F68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14:paraId="6BEAE8C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因公出国（境）费支出37.03万元，开支内容包括往返交通费、住宿费等。单位全年安排的因公出国（境）团组1个，因公出国（境）6人次。</w:t>
      </w:r>
    </w:p>
    <w:p w14:paraId="5890B9A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39.00万元，其中：公务用车购置费0.00万元，公务用车运行维护费39.00万元。公务用车运行维护费开支内容包括车辆燃油费、维修费、车辆保险等。公务用车购置数0辆，公务用车保有量14辆。国有资产占用情况中固定资产车辆15辆，与公务用车保有量差异原因是：因二级预算单位自治区佛协无单独固定资产系统，佛协的1辆公务车辆在本级固定资产系统中统计，本级实有公务用车14辆。</w:t>
      </w:r>
    </w:p>
    <w:p w14:paraId="56D0131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公务接待费3.00万元，开支内容包括接待兄弟单位来疆调研。单位全年安排的国内公务接待18批次，177人次。</w:t>
      </w:r>
    </w:p>
    <w:p w14:paraId="3CBA5B4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79.03万元，决算数79.03万元，预决算差异率0.00%，主要原因是：“三公”经费在预算范围内列支。其中：因公出国（境）费全年预算数37.03万元，决算数37.03万元，预决算差异率0.00%，主要原因是：因公出国（境）费在预算范围内列支；公务用车购置费全年预算数0.00万元，决算数0.00万元，预决算差异率0.00%，主要原因是：我单位无公务用车购置费；公务用车运行维护费全年预算数39.00万元，决算数39.00万元，预决算差异率0.00%，主要原因是：公务用车运行维护费在预算范围内列支；公务接待费全年预算数3.00万元，决算数3.00万元，预决算差异率0.00%，主要原因是：公务接待费在预算范围内列支。</w:t>
      </w:r>
    </w:p>
    <w:p w14:paraId="0B8F471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14:paraId="29F7F5B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sz w:val="32"/>
          <w:szCs w:val="32"/>
        </w:rPr>
      </w:pPr>
      <w:r>
        <w:rPr>
          <w:rFonts w:ascii="黑体" w:eastAsia="黑体"/>
          <w:b w:val="0"/>
          <w:sz w:val="32"/>
          <w:szCs w:val="32"/>
        </w:rPr>
        <w:t>（一）机关运行经费及公用经费支出情况</w:t>
      </w:r>
    </w:p>
    <w:p w14:paraId="0648235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新疆维吾尔自治区民族事务委员会（宗教事务局）单位（行政单位和参照公务员法管理事业单位）机关运行经费支出298.93万元，比上年减少64.49万元，下降17.75%，主要原因是：因机构改革，本年人员较上年大幅减少，机关运行经费减少。</w:t>
      </w:r>
    </w:p>
    <w:p w14:paraId="17D82F1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sz w:val="32"/>
          <w:szCs w:val="32"/>
        </w:rPr>
      </w:pPr>
      <w:r>
        <w:rPr>
          <w:rFonts w:ascii="黑体" w:eastAsia="黑体"/>
          <w:b w:val="0"/>
          <w:sz w:val="32"/>
          <w:szCs w:val="32"/>
        </w:rPr>
        <w:t>（二）政府采购情况</w:t>
      </w:r>
    </w:p>
    <w:p w14:paraId="1F8082D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2024年度政府采购支出总额197.35万元，其中：政府采购货物支出29.65万元、政府采购工程支出0.00万元、政府采购服务支出167.70万元。</w:t>
      </w:r>
    </w:p>
    <w:p w14:paraId="0B2BABA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授予中小企业合同金额184.87万元，占政府采购支出总额的93.68%，其中：授予小微企业合同金额148.34万元，占政府采购支出总额的75.17%。</w:t>
      </w:r>
    </w:p>
    <w:p w14:paraId="1E9A386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2"/>
        <w:rPr>
          <w:rFonts w:ascii="黑体" w:eastAsia="黑体"/>
          <w:sz w:val="32"/>
          <w:szCs w:val="32"/>
        </w:rPr>
      </w:pPr>
      <w:r>
        <w:rPr>
          <w:rFonts w:ascii="黑体" w:eastAsia="黑体"/>
          <w:b w:val="0"/>
          <w:sz w:val="32"/>
          <w:szCs w:val="32"/>
        </w:rPr>
        <w:t>（三）国有资产占用情况说明</w:t>
      </w:r>
    </w:p>
    <w:p w14:paraId="1705AF3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2024年12月31日，房屋19,065.00平方米，价值6,682.89万元。车辆15辆，价值407.05万元，其中：副部（省）级及以上领导用车0辆、主要负责人用车0辆、机要通信用车0辆、应急保障用车0辆、执法执勤用车0辆、特种专业技术用车0辆、离退休干部服务用车0辆、其他用车15辆，其他用车主要是：公务用车;单价100万元（含）以上设备（不含车辆）1台（套）。</w:t>
      </w:r>
    </w:p>
    <w:p w14:paraId="2804078B">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14:paraId="25792B7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根据预算绩效管理要求，本单位2024年度预算绩效评价项</w:t>
      </w:r>
      <w:r>
        <w:rPr>
          <w:rFonts w:hint="eastAsia" w:ascii="仿宋_GB2312" w:eastAsia="仿宋_GB2312"/>
          <w:b w:val="0"/>
          <w:sz w:val="32"/>
          <w:szCs w:val="32"/>
          <w:lang w:val="en-US" w:eastAsia="zh-CN"/>
        </w:rPr>
        <w:t>目</w:t>
      </w:r>
      <w:r>
        <w:rPr>
          <w:rFonts w:ascii="仿宋_GB2312" w:eastAsia="仿宋_GB2312"/>
          <w:b w:val="0"/>
          <w:sz w:val="32"/>
          <w:szCs w:val="32"/>
        </w:rPr>
        <w:t>7个，全年预算</w:t>
      </w:r>
      <w:r>
        <w:rPr>
          <w:rFonts w:hint="eastAsia" w:ascii="仿宋_GB2312" w:eastAsia="仿宋_GB2312"/>
          <w:b w:val="0"/>
          <w:sz w:val="32"/>
          <w:szCs w:val="32"/>
          <w:lang w:val="en-US" w:eastAsia="zh-CN"/>
        </w:rPr>
        <w:t>数</w:t>
      </w:r>
      <w:r>
        <w:rPr>
          <w:rFonts w:ascii="仿宋_GB2312" w:eastAsia="仿宋_GB2312"/>
          <w:b w:val="0"/>
          <w:sz w:val="32"/>
          <w:szCs w:val="32"/>
        </w:rPr>
        <w:t>887.02万元，全年执行数739.97万元。预算绩效管理取得的成效：一是财政资金预算绩效管理达到全覆盖。二是预算绩效管理机制逐步健全。认真贯彻落实全面绩效管理的工作要求，突出绩效导向，促进精准编制预算，把</w:t>
      </w:r>
      <w:r>
        <w:rPr>
          <w:rFonts w:hint="eastAsia" w:ascii="仿宋_GB2312" w:eastAsia="仿宋_GB2312"/>
          <w:b w:val="0"/>
          <w:sz w:val="32"/>
          <w:szCs w:val="32"/>
          <w:lang w:eastAsia="zh-CN"/>
        </w:rPr>
        <w:t>“</w:t>
      </w:r>
      <w:r>
        <w:rPr>
          <w:rFonts w:ascii="仿宋_GB2312" w:eastAsia="仿宋_GB2312"/>
          <w:b w:val="0"/>
          <w:sz w:val="32"/>
          <w:szCs w:val="32"/>
        </w:rPr>
        <w:t>绩效与预算深度融合</w:t>
      </w:r>
      <w:r>
        <w:rPr>
          <w:rFonts w:hint="eastAsia" w:ascii="仿宋_GB2312" w:eastAsia="仿宋_GB2312"/>
          <w:b w:val="0"/>
          <w:sz w:val="32"/>
          <w:szCs w:val="32"/>
          <w:lang w:eastAsia="zh-CN"/>
        </w:rPr>
        <w:t>”</w:t>
      </w:r>
      <w:r>
        <w:rPr>
          <w:rFonts w:ascii="仿宋_GB2312" w:eastAsia="仿宋_GB2312"/>
          <w:b w:val="0"/>
          <w:sz w:val="32"/>
          <w:szCs w:val="32"/>
        </w:rPr>
        <w:t>作为根本出发点，强化绩效目标管理，严格执行预算绩效管理制度，强化绩效理念和支出责任，按照</w:t>
      </w:r>
      <w:r>
        <w:rPr>
          <w:rFonts w:hint="eastAsia" w:ascii="仿宋_GB2312" w:eastAsia="仿宋_GB2312"/>
          <w:b w:val="0"/>
          <w:sz w:val="32"/>
          <w:szCs w:val="32"/>
          <w:lang w:eastAsia="zh-CN"/>
        </w:rPr>
        <w:t>“</w:t>
      </w:r>
      <w:r>
        <w:rPr>
          <w:rFonts w:ascii="仿宋_GB2312" w:eastAsia="仿宋_GB2312"/>
          <w:b w:val="0"/>
          <w:sz w:val="32"/>
          <w:szCs w:val="32"/>
        </w:rPr>
        <w:t>谁支出、谁负责</w:t>
      </w:r>
      <w:r>
        <w:rPr>
          <w:rFonts w:hint="eastAsia" w:ascii="仿宋_GB2312" w:eastAsia="仿宋_GB2312"/>
          <w:b w:val="0"/>
          <w:sz w:val="32"/>
          <w:szCs w:val="32"/>
          <w:lang w:eastAsia="zh-CN"/>
        </w:rPr>
        <w:t>”</w:t>
      </w:r>
      <w:r>
        <w:rPr>
          <w:rFonts w:ascii="仿宋_GB2312" w:eastAsia="仿宋_GB2312"/>
          <w:b w:val="0"/>
          <w:sz w:val="32"/>
          <w:szCs w:val="32"/>
        </w:rPr>
        <w:t>的原则，对发现的问题及时分析原因并纠正。发现的问题及原因：一是绩效管理的积极性有待提高，进一步转变思想观念，牢固树立绩效意识，主动承担起绩效管理的主体责任，建立健全绩效管理机制，将绩效管理作为规范和提升管理水平的重要手段和工具，解决好对全面实施预算绩效管理工作重视程度不够、认识不到位、参与不够的问题；二是预算绩效管理的科学化水平需要进一步提升，要把绩效理念和绩效方法深度融入预算管理的方方面面和各个环节，形成突破，发挥绩效管理在</w:t>
      </w:r>
      <w:r>
        <w:rPr>
          <w:rFonts w:hint="eastAsia" w:ascii="仿宋_GB2312" w:eastAsia="仿宋_GB2312"/>
          <w:b w:val="0"/>
          <w:sz w:val="32"/>
          <w:szCs w:val="32"/>
          <w:lang w:eastAsia="zh-CN"/>
        </w:rPr>
        <w:t>“</w:t>
      </w:r>
      <w:r>
        <w:rPr>
          <w:rFonts w:ascii="仿宋_GB2312" w:eastAsia="仿宋_GB2312"/>
          <w:b w:val="0"/>
          <w:sz w:val="32"/>
          <w:szCs w:val="32"/>
        </w:rPr>
        <w:t>节支增效</w:t>
      </w:r>
      <w:r>
        <w:rPr>
          <w:rFonts w:hint="eastAsia" w:ascii="仿宋_GB2312" w:eastAsia="仿宋_GB2312"/>
          <w:b w:val="0"/>
          <w:sz w:val="32"/>
          <w:szCs w:val="32"/>
          <w:lang w:eastAsia="zh-CN"/>
        </w:rPr>
        <w:t>”</w:t>
      </w:r>
      <w:r>
        <w:rPr>
          <w:rFonts w:ascii="仿宋_GB2312" w:eastAsia="仿宋_GB2312"/>
          <w:b w:val="0"/>
          <w:sz w:val="32"/>
          <w:szCs w:val="32"/>
        </w:rPr>
        <w:t>方面的重要作用。下一步改进措施：一是加强组织领导。进一步转变观念，牢固树立</w:t>
      </w:r>
      <w:r>
        <w:rPr>
          <w:rFonts w:hint="eastAsia" w:ascii="仿宋_GB2312" w:eastAsia="仿宋_GB2312"/>
          <w:b w:val="0"/>
          <w:sz w:val="32"/>
          <w:szCs w:val="32"/>
          <w:lang w:eastAsia="zh-CN"/>
        </w:rPr>
        <w:t>“</w:t>
      </w:r>
      <w:r>
        <w:rPr>
          <w:rFonts w:ascii="仿宋_GB2312" w:eastAsia="仿宋_GB2312"/>
          <w:b w:val="0"/>
          <w:sz w:val="32"/>
          <w:szCs w:val="32"/>
        </w:rPr>
        <w:t>花钱必问效，无效必问责</w:t>
      </w:r>
      <w:r>
        <w:rPr>
          <w:rFonts w:hint="eastAsia" w:ascii="仿宋_GB2312" w:eastAsia="仿宋_GB2312"/>
          <w:b w:val="0"/>
          <w:sz w:val="32"/>
          <w:szCs w:val="32"/>
          <w:lang w:eastAsia="zh-CN"/>
        </w:rPr>
        <w:t>”</w:t>
      </w:r>
      <w:r>
        <w:rPr>
          <w:rFonts w:ascii="仿宋_GB2312" w:eastAsia="仿宋_GB2312"/>
          <w:b w:val="0"/>
          <w:sz w:val="32"/>
          <w:szCs w:val="32"/>
        </w:rPr>
        <w:t>的预算绩效管理理念，切实提高绩效评价在日常管理中的重要作用，确保财政资金安全、高效使用。二是强化绩效监控。按月对项目支出绩效目标的实现程度和预算执行情况进行“双监控”，发现问题及时纠正，确保项目绩效目标如期保质保量实现。具体附项目支出绩效自评表。</w:t>
      </w:r>
    </w:p>
    <w:p w14:paraId="43E0F8D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14:paraId="70FFEF67">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14:paraId="4AE2623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rPr>
          <w:rFonts w:ascii="仿宋_GB2312" w:eastAsia="仿宋_GB2312"/>
          <w:sz w:val="32"/>
          <w:szCs w:val="32"/>
        </w:rPr>
      </w:pPr>
    </w:p>
    <w:p w14:paraId="2C5B2F14">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7351935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第三部分 专业名词解释</w:t>
      </w:r>
    </w:p>
    <w:p w14:paraId="5632DA5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15540082">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0718C41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249E672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w:t>
      </w:r>
      <w:bookmarkStart w:id="0" w:name="_GoBack"/>
      <w:bookmarkEnd w:id="0"/>
      <w:r>
        <w:rPr>
          <w:rFonts w:ascii="仿宋_GB2312" w:eastAsia="仿宋_GB2312"/>
          <w:b w:val="0"/>
          <w:sz w:val="32"/>
          <w:szCs w:val="32"/>
        </w:rPr>
        <w:t>助活动之外开展非独立核算经营活动取得的收入。</w:t>
      </w:r>
    </w:p>
    <w:p w14:paraId="3848C27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3D3CB2B6">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670563C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45606AA">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BC075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1074AB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57380C8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15D5AA1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31640408">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206B75">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3BF48986">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14:paraId="3BBC453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sz w:val="32"/>
          <w:szCs w:val="32"/>
        </w:rPr>
      </w:pPr>
      <w:r>
        <w:rPr>
          <w:rFonts w:ascii="黑体" w:eastAsia="黑体"/>
          <w:b w:val="0"/>
          <w:sz w:val="32"/>
          <w:szCs w:val="32"/>
        </w:rPr>
        <w:t>第四部分 部门决算报表（见附表）</w:t>
      </w:r>
    </w:p>
    <w:p w14:paraId="5FE79214">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14:paraId="6C3612DC">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14:paraId="5ABB9B2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14:paraId="27ED5643">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14:paraId="47ADF149">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14:paraId="6874C88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4DBD45B0">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3E6DAAFE">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5F9D1D4F">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2041" w:right="1587" w:bottom="1587" w:left="1588"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766BB4"/>
    <w:rsid w:val="5ABB5515"/>
    <w:rsid w:val="677332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uiPriority w:val="99"/>
    <w:rPr>
      <w:color w:val="0000FF" w:themeColor="hyperlink"/>
      <w:u w:val="single"/>
    </w:rPr>
  </w:style>
  <w:style w:type="character" w:customStyle="1" w:styleId="16">
    <w:name w:val="Header Char"/>
    <w:basedOn w:val="13"/>
    <w:link w:val="8"/>
    <w:uiPriority w:val="99"/>
  </w:style>
  <w:style w:type="character" w:customStyle="1" w:styleId="17">
    <w:name w:val="Heading 1 Char"/>
    <w:basedOn w:val="13"/>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18</Pages>
  <TotalTime>9</TotalTime>
  <ScaleCrop>false</ScaleCrop>
  <LinksUpToDate>false</LinksUpToDate>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2025-08-29T09:46:06Z</dcterms:created>
  <dc:creator>Dell-3020</dc:creator>
  <cp:lastModifiedBy>Dell-3020</cp:lastModifiedBy>
  <dcterms:modified xsi:type="dcterms:W3CDTF">2025-08-29T09:56:23Z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eyJoZGlkIjoiODFiYWQzYjQ2ZWY3NzRkOGY5MmZiMTAxYTdhNDhjYjYifQ==</vt:lpwstr>
  </property>
  <property fmtid="{D5CDD505-2E9C-101B-9397-08002B2CF9AE}" pid="3" name="KSOProductBuildVer">
    <vt:lpwstr>2052-12.1.0.21915</vt:lpwstr>
  </property>
  <property fmtid="{D5CDD505-2E9C-101B-9397-08002B2CF9AE}" pid="4" name="ICV">
    <vt:lpwstr>6CA4B8FF5850452681479098CE6382B3_13</vt:lpwstr>
  </property>
</Properties>
</file>