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8.3.14 (Apache licensed) using REFERENCE JAXB in Oracle Java 1.8.0_342 on Linux -->
    <w:p>
      <w:pPr>
        <w:widowControl w:val="true"/>
        <w:spacing w:before="0" w:beforeLines="0" w:beforeAutospacing="false" w:after="0" w:afterLines="0" w:afterAutospacing="false" w:line="240" w:lineRule="auto"/>
        <w:ind/>
        <w:jc w:val="left"/>
        <w:rPr>
          <w:rFonts w:ascii="宋体" w:eastAsia="宋体"/>
          <w:sz w:val="32"/>
          <w:szCs w:val="32"/>
        </w:rPr>
      </w:pPr>
    </w:p>
    <w:p>
      <w:pPr>
        <w:widowControl w:val="true"/>
        <w:spacing w:before="0" w:beforeLines="0" w:beforeAutospacing="false" w:after="0" w:afterLines="0" w:afterAutospacing="false" w:line="240" w:lineRule="auto"/>
        <w:ind/>
        <w:jc w:val="left"/>
        <w:rPr>
          <w:rFonts w:ascii="宋体" w:eastAsia="宋体"/>
          <w:sz w:val="44"/>
          <w:szCs w:val="44"/>
        </w:rPr>
      </w:pPr>
    </w:p>
    <w:p>
      <w:pPr>
        <w:widowControl w:val="true"/>
        <w:spacing w:before="0" w:beforeLines="0" w:beforeAutospacing="false" w:after="0" w:afterLines="0" w:afterAutospacing="false" w:line="240" w:lineRule="auto"/>
        <w:ind/>
        <w:jc w:val="left"/>
        <w:rPr>
          <w:rFonts w:ascii="宋体" w:eastAsia="宋体"/>
          <w:sz w:val="44"/>
          <w:szCs w:val="44"/>
        </w:rPr>
      </w:pPr>
    </w:p>
    <w:p>
      <w:pPr>
        <w:widowControl w:val="true"/>
        <w:spacing w:before="0" w:beforeLines="0" w:beforeAutospacing="false" w:after="0" w:afterLines="0" w:afterAutospacing="false" w:line="240" w:lineRule="auto"/>
        <w:ind/>
        <w:jc w:val="left"/>
        <w:rPr>
          <w:rFonts w:ascii="宋体" w:eastAsia="宋体"/>
          <w:sz w:val="44"/>
          <w:szCs w:val="44"/>
        </w:rPr>
      </w:pPr>
    </w:p>
    <w:p>
      <w:pPr>
        <w:widowControl w:val="true"/>
        <w:spacing w:before="0" w:beforeLines="0" w:beforeAutospacing="false" w:after="0" w:afterLines="0" w:afterAutospacing="false" w:line="240" w:lineRule="auto"/>
        <w:ind/>
        <w:jc w:val="center"/>
        <w:outlineLvl w:val="0"/>
        <w:rPr>
          <w:rFonts w:ascii="宋体" w:eastAsia="黑体"/>
          <w:sz w:val="44"/>
          <w:szCs w:val="44"/>
        </w:rPr>
      </w:pPr>
      <w:r>
        <w:rPr>
          <w:rFonts w:ascii="宋体" w:eastAsia="黑体"/>
          <w:b w:val="false"/>
          <w:sz w:val="44"/>
          <w:szCs w:val="44"/>
        </w:rPr>
        <w:t>新疆维吾尔自治区民族事务委员会（宗教事务局）</w:t>
      </w:r>
    </w:p>
    <w:p>
      <w:pPr>
        <w:widowControl w:val="true"/>
        <w:spacing w:before="0" w:beforeLines="0" w:beforeAutospacing="false" w:after="0" w:afterLines="0" w:afterAutospacing="false" w:line="240" w:lineRule="auto"/>
        <w:ind/>
        <w:jc w:val="center"/>
        <w:outlineLvl w:val="0"/>
        <w:rPr>
          <w:rFonts w:ascii="黑体" w:eastAsia="黑体"/>
          <w:sz w:val="44"/>
          <w:szCs w:val="44"/>
        </w:rPr>
      </w:pPr>
      <w:r>
        <w:rPr>
          <w:rFonts w:ascii="黑体" w:eastAsia="黑体"/>
          <w:b w:val="false"/>
          <w:sz w:val="44"/>
          <w:szCs w:val="44"/>
        </w:rPr>
        <w:t>2024年度部门决算公开说明</w:t>
      </w:r>
    </w:p>
    <w:p>
      <w:pPr>
        <w:widowControl w:val="true"/>
        <w:rPr/>
      </w:pPr>
      <w:r>
        <w:rPr>
          <w:rFonts/>
          <w:b w:val="false"/>
          <w:sz w:val="0"/>
          <w:szCs w:val="0"/>
        </w:rPr>
        <w:br w:type="page"/>
      </w:r>
    </w:p>
    <w:p>
      <w:pPr>
        <w:widowControl w:val="true"/>
        <w:spacing w:before="0" w:beforeLines="0" w:beforeAutospacing="false" w:after="0" w:afterLines="0" w:afterAutospacing="false" w:line="240" w:lineRule="auto"/>
        <w:ind/>
        <w:jc w:val="center"/>
        <w:rPr>
          <w:rFonts w:ascii="黑体" w:eastAsia="黑体"/>
          <w:sz w:val="32"/>
          <w:szCs w:val="32"/>
        </w:rPr>
      </w:pPr>
      <w:r>
        <w:rPr>
          <w:rFonts w:ascii="黑体" w:eastAsia="黑体"/>
          <w:b w:val="true"/>
          <w:sz w:val="32"/>
          <w:szCs w:val="32"/>
        </w:rPr>
        <w:t>目  录</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true"/>
          <w:sz w:val="32"/>
          <w:szCs w:val="32"/>
        </w:rPr>
        <w:t>第一部分 </w:t>
      </w:r>
      <w:r>
        <w:rPr>
          <w:rFonts w:ascii="仿宋_GB2312" w:eastAsia="仿宋_GB2312"/>
          <w:b w:val="true"/>
          <w:sz w:val="32"/>
          <w:szCs w:val="32"/>
        </w:rPr>
        <w:t>部门</w:t>
      </w:r>
      <w:r>
        <w:rPr>
          <w:rFonts w:ascii="仿宋_GB2312" w:eastAsia="仿宋_GB2312"/>
          <w:b w:val="true"/>
          <w:sz w:val="32"/>
          <w:szCs w:val="32"/>
        </w:rPr>
        <w:t>概况</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一、主要职能</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二、机构设置及人员情况</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true"/>
          <w:sz w:val="32"/>
          <w:szCs w:val="32"/>
        </w:rPr>
        <w:t>第二部分 部门决算情况说明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一、收入支出决算总体情况说明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二、收入决算情况说明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三、支出决算情况说明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四、财政拨款收入支出决算总体情况说明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五、一般公共预算财政拨款支出决算情况说明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（一）一般公共预算财政拨款支出决算总体情况</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（二）一般公共预算财政拨款支出决算结构情况</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（三）一般公共预算财政拨款支出决算具体情况</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​六、一般公共预算财政拨款基本支出决算情况说明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七、政府性基金预算财政拨款收入支出决算情况说明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八、国有资本经营预算财政拨款收入支出决算情况说明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九、财政拨款“三公”经费支出决算情况说明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​十、其他重要事项的情况说明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（一）机关运行经费及公用经费支出情况</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（二）政府采购情况</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（三）国有资产占用情况说明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十一、预算绩效的情况说明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十二、其他需说明的事项</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true"/>
          <w:sz w:val="32"/>
          <w:szCs w:val="32"/>
        </w:rPr>
        <w:t>第三部分 专业名词解释</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true"/>
          <w:sz w:val="32"/>
          <w:szCs w:val="32"/>
        </w:rPr>
        <w:t>第四部分 部门决算报表（见附表）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一、《收入支出决算总表》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二、《收入决算表》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三、《支出决算表》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四、《财政拨款收入支出决算总表》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五、《一般公共预算财政拨款支出决算表》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六、《一般公共预算财政拨款基本支出决算表》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七、《政府性基金预算财政拨款收入支出决算表》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八、《国有资本经营预算财政拨款收入支出决算表》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九、《财政拨款“三公”经费支出决算表》</w:t>
      </w:r>
    </w:p>
    <w:p>
      <w:pPr>
        <w:widowControl w:val="true"/>
        <w:rPr/>
      </w:pPr>
      <w:r>
        <w:rPr>
          <w:rFonts/>
          <w:b w:val="false"/>
          <w:sz w:val="0"/>
          <w:szCs w:val="0"/>
        </w:rPr>
        <w:br w:type="page"/>
      </w:r>
    </w:p>
    <w:p>
      <w:pPr>
        <w:widowControl w:val="true"/>
        <w:spacing w:before="0" w:beforeLines="0" w:beforeAutospacing="false" w:after="0" w:afterLines="0" w:afterAutospacing="false" w:line="240" w:lineRule="auto"/>
        <w:ind/>
        <w:jc w:val="center"/>
        <w:outlineLvl w:val="0"/>
        <w:rPr>
          <w:rFonts w:ascii="黑体" w:eastAsia="黑体"/>
          <w:sz w:val="32"/>
          <w:szCs w:val="32"/>
        </w:rPr>
      </w:pPr>
      <w:r>
        <w:rPr>
          <w:rFonts w:ascii="黑体" w:eastAsia="黑体"/>
          <w:b w:val="false"/>
          <w:sz w:val="32"/>
          <w:szCs w:val="32"/>
        </w:rPr>
        <w:t>第一部分 </w:t>
      </w:r>
      <w:r>
        <w:rPr>
          <w:rFonts w:ascii="黑体" w:eastAsia="黑体"/>
          <w:b w:val="false"/>
          <w:sz w:val="32"/>
          <w:szCs w:val="32"/>
        </w:rPr>
        <w:t>部门</w:t>
      </w:r>
      <w:r>
        <w:rPr>
          <w:rFonts w:ascii="黑体" w:eastAsia="黑体"/>
          <w:b w:val="false"/>
          <w:sz w:val="32"/>
          <w:szCs w:val="32"/>
        </w:rPr>
        <w:t>概况</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 一、主要职能</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一）负责贯彻落实党中央关于民族工作的方针政策、决策部署，完整准确全面贯彻新时代党的治疆方略，坚持以铸牢中华民族共同体意识为主线，贯彻落实自治区党委工作要求，组织开展民族理论和政策、民族工作和新时代党的治疆方略重大问题的调查研究，起草民族工作地方性法规、规章草案和政策规定，推进中华民族共有精神家园建设、促进各民族交往交流交融、推动各民族共同走向社会主义现代化、提升民族事务治理体系和治理能力现代化、加强民族领域重大风险隐患防范化解等工作。（二）组织、协调、联络、指导少数民族古籍搜集、整理、出版、规划等工作，组织实施国家和自治区少数民族古籍重点项目和课题；组织开展少数民族古籍宣传展示和学术交流；组织实施少数民族古籍信息化建设和管理工作；组织开展少数民族古籍保护与研究的人才培养等工作。（三）组织开展铸牢中华民族共同体意识、中华民族交往交流交融史和中华民族共同体历史、加强中华民族共同体建设、党的治疆方略等理论实践研究；联系有关机构和专家学者组织开展各类学术交流活动，加强交流合作；组织开展有关科研项目的发布、申报、管理等工作；整理编辑民族工作领域重要文献，参与编写、修订民族类丛书、年鉴等。</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二、机构设置及人员情况</w:t>
      </w:r>
      <w:r>
        <w:rPr>
          <w:rFonts w:ascii="黑体" w:eastAsia="黑体"/>
          <w:b w:val="false"/>
          <w:sz w:val="32"/>
          <w:szCs w:val="32"/>
        </w:rPr>
        <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新疆维吾尔自治区民族事务委员会（宗教事务局）</w:t>
      </w:r>
      <w:r>
        <w:rPr>
          <w:rFonts w:ascii="仿宋_GB2312" w:eastAsia="仿宋_GB2312"/>
          <w:b w:val="false"/>
          <w:sz w:val="32"/>
          <w:szCs w:val="32"/>
        </w:rPr>
        <w:t>2024年度，实有人数</w:t>
      </w:r>
      <w:r>
        <w:rPr>
          <w:rFonts w:ascii="仿宋_GB2312" w:eastAsia="仿宋_GB2312"/>
          <w:b w:val="false"/>
          <w:sz w:val="32"/>
          <w:szCs w:val="32"/>
        </w:rPr>
        <w:t>233</w:t>
      </w:r>
      <w:r>
        <w:rPr>
          <w:rFonts w:ascii="仿宋_GB2312" w:eastAsia="仿宋_GB2312"/>
          <w:b w:val="false"/>
          <w:sz w:val="32"/>
          <w:szCs w:val="32"/>
        </w:rPr>
        <w:t>人，其中：在职人员</w:t>
      </w:r>
      <w:r>
        <w:rPr>
          <w:rFonts w:ascii="仿宋_GB2312" w:eastAsia="仿宋_GB2312"/>
          <w:b w:val="false"/>
          <w:sz w:val="32"/>
          <w:szCs w:val="32"/>
        </w:rPr>
        <w:t>109</w:t>
      </w:r>
      <w:r>
        <w:rPr>
          <w:rFonts w:ascii="仿宋_GB2312" w:eastAsia="仿宋_GB2312"/>
          <w:b w:val="false"/>
          <w:sz w:val="32"/>
          <w:szCs w:val="32"/>
        </w:rPr>
        <w:t>人，</w:t>
      </w:r>
      <w:r>
        <w:rPr>
          <w:rFonts w:ascii="仿宋_GB2312" w:eastAsia="仿宋_GB2312"/>
          <w:b w:val="false"/>
          <w:sz w:val="32"/>
          <w:szCs w:val="32"/>
        </w:rPr>
        <w:t>减少</w:t>
      </w:r>
      <w:r>
        <w:rPr>
          <w:rFonts w:ascii="仿宋_GB2312" w:eastAsia="仿宋_GB2312"/>
          <w:b w:val="false"/>
          <w:sz w:val="32"/>
          <w:szCs w:val="32"/>
        </w:rPr>
        <w:t>34</w:t>
      </w:r>
      <w:r>
        <w:rPr>
          <w:rFonts w:ascii="仿宋_GB2312" w:eastAsia="仿宋_GB2312"/>
          <w:b w:val="false"/>
          <w:sz w:val="32"/>
          <w:szCs w:val="32"/>
        </w:rPr>
        <w:t>人；</w:t>
      </w:r>
      <w:r>
        <w:rPr>
          <w:rFonts w:ascii="仿宋_GB2312" w:eastAsia="仿宋_GB2312"/>
          <w:b w:val="false"/>
          <w:sz w:val="32"/>
          <w:szCs w:val="32"/>
        </w:rPr>
        <w:t>离休人员</w:t>
      </w:r>
      <w:r>
        <w:rPr>
          <w:rFonts w:ascii="仿宋_GB2312" w:eastAsia="仿宋_GB2312"/>
          <w:b w:val="false"/>
          <w:sz w:val="32"/>
          <w:szCs w:val="32"/>
        </w:rPr>
        <w:t>0</w:t>
      </w:r>
      <w:r>
        <w:rPr>
          <w:rFonts w:ascii="仿宋_GB2312" w:eastAsia="仿宋_GB2312"/>
          <w:b w:val="false"/>
          <w:sz w:val="32"/>
          <w:szCs w:val="32"/>
        </w:rPr>
        <w:t>人，</w:t>
      </w:r>
      <w:r>
        <w:rPr>
          <w:rFonts w:ascii="仿宋_GB2312" w:eastAsia="仿宋_GB2312"/>
          <w:b w:val="false"/>
          <w:sz w:val="32"/>
          <w:szCs w:val="32"/>
        </w:rPr>
        <w:t>减少</w:t>
      </w:r>
      <w:r>
        <w:rPr>
          <w:rFonts w:ascii="仿宋_GB2312" w:eastAsia="仿宋_GB2312"/>
          <w:b w:val="false"/>
          <w:sz w:val="32"/>
          <w:szCs w:val="32"/>
        </w:rPr>
        <w:t>2</w:t>
      </w:r>
      <w:r>
        <w:rPr>
          <w:rFonts w:ascii="仿宋_GB2312" w:eastAsia="仿宋_GB2312"/>
          <w:b w:val="false"/>
          <w:sz w:val="32"/>
          <w:szCs w:val="32"/>
        </w:rPr>
        <w:t>人；</w:t>
      </w:r>
      <w:r>
        <w:rPr>
          <w:rFonts w:ascii="仿宋_GB2312" w:eastAsia="仿宋_GB2312"/>
          <w:b w:val="false"/>
          <w:sz w:val="32"/>
          <w:szCs w:val="32"/>
        </w:rPr>
        <w:t>退休人员</w:t>
      </w:r>
      <w:r>
        <w:rPr>
          <w:rFonts w:ascii="仿宋_GB2312" w:eastAsia="仿宋_GB2312"/>
          <w:b w:val="false"/>
          <w:sz w:val="32"/>
          <w:szCs w:val="32"/>
        </w:rPr>
        <w:t>124</w:t>
      </w:r>
      <w:r>
        <w:rPr>
          <w:rFonts w:ascii="仿宋_GB2312" w:eastAsia="仿宋_GB2312"/>
          <w:b w:val="false"/>
          <w:sz w:val="32"/>
          <w:szCs w:val="32"/>
        </w:rPr>
        <w:t>人，</w:t>
      </w:r>
      <w:r>
        <w:rPr>
          <w:rFonts w:ascii="仿宋_GB2312" w:eastAsia="仿宋_GB2312"/>
          <w:b w:val="false"/>
          <w:sz w:val="32"/>
          <w:szCs w:val="32"/>
        </w:rPr>
        <w:t>增加</w:t>
      </w:r>
      <w:r>
        <w:rPr>
          <w:rFonts w:ascii="仿宋_GB2312" w:eastAsia="仿宋_GB2312"/>
          <w:b w:val="false"/>
          <w:sz w:val="32"/>
          <w:szCs w:val="32"/>
        </w:rPr>
        <w:t>14</w:t>
      </w:r>
      <w:r>
        <w:rPr>
          <w:rFonts w:ascii="仿宋_GB2312" w:eastAsia="仿宋_GB2312"/>
          <w:b w:val="false"/>
          <w:sz w:val="32"/>
          <w:szCs w:val="32"/>
        </w:rPr>
        <w:t>人。</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从部门决算单位构成看，</w:t>
      </w:r>
      <w:r>
        <w:rPr>
          <w:rFonts w:ascii="仿宋_GB2312" w:eastAsia="仿宋_GB2312"/>
          <w:b w:val="false"/>
          <w:sz w:val="32"/>
          <w:szCs w:val="32"/>
        </w:rPr>
        <w:t>新疆维吾尔自治区民族事务委员会（宗教事务局）</w:t>
      </w:r>
      <w:r>
        <w:rPr>
          <w:rFonts w:ascii="仿宋_GB2312" w:eastAsia="仿宋_GB2312"/>
          <w:b w:val="false"/>
          <w:sz w:val="32"/>
          <w:szCs w:val="32"/>
        </w:rPr>
        <w:t>部门决算包括：</w:t>
      </w:r>
      <w:r>
        <w:rPr>
          <w:rFonts w:ascii="仿宋_GB2312" w:eastAsia="仿宋_GB2312"/>
          <w:b w:val="false"/>
          <w:sz w:val="32"/>
          <w:szCs w:val="32"/>
        </w:rPr>
        <w:t>新疆维吾尔自治区民族事务委员会（宗教事务局）</w:t>
      </w:r>
      <w:r>
        <w:rPr>
          <w:rFonts w:ascii="仿宋_GB2312" w:eastAsia="仿宋_GB2312"/>
          <w:b w:val="false"/>
          <w:sz w:val="32"/>
          <w:szCs w:val="32"/>
        </w:rPr>
        <w:t>本级决算及所属单位决算。</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新疆维吾尔自治区民族事务委员会（宗教事务局）</w:t>
      </w:r>
      <w:r>
        <w:rPr>
          <w:rFonts w:ascii="仿宋_GB2312" w:eastAsia="仿宋_GB2312"/>
          <w:b w:val="false"/>
          <w:sz w:val="32"/>
          <w:szCs w:val="32"/>
        </w:rPr>
        <w:t>本级下设</w:t>
      </w:r>
      <w:r>
        <w:rPr>
          <w:rFonts w:ascii="仿宋_GB2312" w:eastAsia="仿宋_GB2312"/>
          <w:b w:val="false"/>
          <w:sz w:val="32"/>
          <w:szCs w:val="32"/>
        </w:rPr>
        <w:t>11</w:t>
      </w:r>
      <w:r>
        <w:rPr>
          <w:rFonts w:ascii="仿宋_GB2312" w:eastAsia="仿宋_GB2312"/>
          <w:b w:val="false"/>
          <w:sz w:val="32"/>
          <w:szCs w:val="32"/>
        </w:rPr>
        <w:t>个</w:t>
      </w:r>
      <w:r>
        <w:rPr>
          <w:rFonts w:ascii="仿宋_GB2312" w:eastAsia="仿宋_GB2312"/>
          <w:b w:val="false"/>
          <w:sz w:val="32"/>
          <w:szCs w:val="32"/>
        </w:rPr>
        <w:t>处室</w:t>
      </w:r>
      <w:r>
        <w:rPr>
          <w:rFonts w:ascii="仿宋_GB2312" w:eastAsia="仿宋_GB2312"/>
          <w:b w:val="false"/>
          <w:sz w:val="32"/>
          <w:szCs w:val="32"/>
        </w:rPr>
        <w:t>，分别是：</w:t>
      </w:r>
      <w:r>
        <w:rPr>
          <w:rFonts w:ascii="仿宋_GB2312" w:eastAsia="仿宋_GB2312"/>
          <w:b w:val="false"/>
          <w:sz w:val="32"/>
          <w:szCs w:val="32"/>
        </w:rPr>
        <w:t>办公室、协调推进处、政策法规和理论研究处、民族团结促进处、共同发展处、文化宣传处、教育处、对外交流处、人事处、机关党委（机关纪委）、离退休干部工作处</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纳入</w:t>
      </w:r>
      <w:r>
        <w:rPr>
          <w:rFonts w:ascii="仿宋_GB2312" w:eastAsia="仿宋_GB2312"/>
          <w:b w:val="false"/>
          <w:sz w:val="32"/>
          <w:szCs w:val="32"/>
        </w:rPr>
        <w:t>新疆维吾尔自治区民族事务委员会（宗教事务局）</w:t>
      </w:r>
      <w:r>
        <w:rPr>
          <w:rFonts w:ascii="仿宋_GB2312" w:eastAsia="仿宋_GB2312"/>
          <w:b w:val="false"/>
          <w:sz w:val="32"/>
          <w:szCs w:val="32"/>
        </w:rPr>
        <w:t>2024年度部门决算编制范围的下属预算单位包括：</w:t>
      </w:r>
    </w:p>
    <w:p>
      <w:pPr>
        <w:widowControl w:val="true"/>
        <w:spacing w:before="0" w:beforeLines="0" w:beforeAutospacing="false" w:after="0" w:afterLines="0" w:afterAutospacing="false" w:line="240" w:lineRule="auto"/>
        <w:ind/>
        <w:jc w:val="both"/>
        <w:rPr>
          <w:rFonts w:ascii="仿宋_GB2312" w:eastAsia="仿宋_GB2312"/>
          <w:sz w:val="32"/>
          <w:szCs w:val="32"/>
        </w:rPr>
      </w:pPr>
      <w:r>
        <w:rPr>
          <w:rFonts w:ascii="仿宋_GB2312" w:eastAsia="仿宋_GB2312"/>
          <w:b w:val="false"/>
          <w:sz w:val="32"/>
          <w:szCs w:val="32"/>
        </w:rPr>
        <w:t>新疆维吾尔自治区民族事务委员会（宗教事务局）</w:t>
      </w:r>
    </w:p>
    <w:p>
      <w:pPr>
        <w:widowControl w:val="true"/>
        <w:spacing w:before="0" w:beforeLines="0" w:beforeAutospacing="false" w:after="0" w:afterLines="0" w:afterAutospacing="false" w:line="240" w:lineRule="auto"/>
        <w:ind/>
        <w:jc w:val="both"/>
        <w:rPr>
          <w:rFonts w:ascii="仿宋_GB2312" w:eastAsia="仿宋_GB2312"/>
          <w:sz w:val="32"/>
          <w:szCs w:val="32"/>
        </w:rPr>
      </w:pPr>
      <w:r>
        <w:rPr>
          <w:rFonts w:ascii="仿宋_GB2312" w:eastAsia="仿宋_GB2312"/>
          <w:b w:val="false"/>
          <w:sz w:val="32"/>
          <w:szCs w:val="32"/>
        </w:rPr>
        <w:t>自治区民族事务委员会（宗教事务局）机关服务中心</w:t>
      </w:r>
    </w:p>
    <w:p>
      <w:pPr>
        <w:widowControl w:val="true"/>
        <w:spacing w:before="0" w:beforeLines="0" w:beforeAutospacing="false" w:after="0" w:afterLines="0" w:afterAutospacing="false" w:line="240" w:lineRule="auto"/>
        <w:ind/>
        <w:jc w:val="both"/>
        <w:rPr>
          <w:rFonts w:ascii="仿宋_GB2312" w:eastAsia="仿宋_GB2312"/>
          <w:sz w:val="32"/>
          <w:szCs w:val="32"/>
        </w:rPr>
      </w:pPr>
      <w:r>
        <w:rPr>
          <w:rFonts w:ascii="仿宋_GB2312" w:eastAsia="仿宋_GB2312"/>
          <w:b w:val="false"/>
          <w:sz w:val="32"/>
          <w:szCs w:val="32"/>
        </w:rPr>
        <w:t>新疆维吾尔自治区少数民族古籍收集整理办公室</w:t>
      </w:r>
    </w:p>
    <w:p>
      <w:pPr>
        <w:widowControl w:val="true"/>
        <w:spacing w:before="0" w:beforeLines="0" w:beforeAutospacing="false" w:after="0" w:afterLines="0" w:afterAutospacing="false" w:line="240" w:lineRule="auto"/>
        <w:ind/>
        <w:jc w:val="both"/>
        <w:rPr>
          <w:rFonts w:ascii="仿宋_GB2312" w:eastAsia="仿宋_GB2312"/>
          <w:sz w:val="32"/>
          <w:szCs w:val="32"/>
        </w:rPr>
      </w:pPr>
      <w:r>
        <w:rPr>
          <w:rFonts w:ascii="仿宋_GB2312" w:eastAsia="仿宋_GB2312"/>
          <w:b w:val="false"/>
          <w:sz w:val="32"/>
          <w:szCs w:val="32"/>
        </w:rPr>
        <w:t>新疆维吾尔自治区民族事务委员会（宗教事务局）民族宗教政策研究所</w:t>
      </w:r>
    </w:p>
    <w:p>
      <w:pPr>
        <w:widowControl w:val="true"/>
        <w:spacing w:before="0" w:beforeLines="0" w:beforeAutospacing="false" w:after="0" w:afterLines="0" w:afterAutospacing="false" w:line="240" w:lineRule="auto"/>
        <w:ind/>
        <w:jc w:val="both"/>
        <w:rPr>
          <w:rFonts w:ascii="仿宋_GB2312" w:eastAsia="仿宋_GB2312"/>
          <w:sz w:val="32"/>
          <w:szCs w:val="32"/>
        </w:rPr>
      </w:pPr>
      <w:r>
        <w:rPr>
          <w:rFonts w:ascii="仿宋_GB2312" w:eastAsia="仿宋_GB2312"/>
          <w:b w:val="false"/>
          <w:sz w:val="32"/>
          <w:szCs w:val="32"/>
        </w:rPr>
        <w:t>新疆维吾尔自治区民族事务委员会（宗教事务局）民族宗教丛书编辑室</w:t>
      </w:r>
    </w:p>
    <w:p>
      <w:pPr>
        <w:widowControl w:val="true"/>
        <w:rPr/>
      </w:pPr>
      <w:r>
        <w:rPr>
          <w:rFonts/>
          <w:b w:val="false"/>
          <w:sz w:val="0"/>
          <w:szCs w:val="0"/>
        </w:rPr>
        <w:br w:type="page"/>
      </w:r>
    </w:p>
    <w:p>
      <w:pPr>
        <w:widowControl w:val="true"/>
        <w:spacing w:before="0" w:beforeLines="0" w:beforeAutospacing="false" w:after="0" w:afterLines="0" w:afterAutospacing="false" w:line="240" w:lineRule="auto"/>
        <w:ind/>
        <w:jc w:val="center"/>
        <w:outlineLvl w:val="0"/>
        <w:rPr>
          <w:rFonts w:ascii="黑体" w:eastAsia="黑体"/>
          <w:sz w:val="32"/>
          <w:szCs w:val="32"/>
        </w:rPr>
      </w:pPr>
      <w:r>
        <w:rPr>
          <w:rFonts w:ascii="黑体" w:eastAsia="黑体"/>
          <w:b w:val="false"/>
          <w:sz w:val="32"/>
          <w:szCs w:val="32"/>
        </w:rPr>
        <w:t>第二部分 部门决算情况说明</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一、收入支出决算总体情况说明</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2024年度收入总计</w:t>
      </w:r>
      <w:r>
        <w:rPr>
          <w:rFonts w:ascii="仿宋_GB2312" w:eastAsia="仿宋_GB2312"/>
          <w:b w:val="false"/>
          <w:sz w:val="32"/>
          <w:szCs w:val="32"/>
        </w:rPr>
        <w:t>4,808.47</w:t>
      </w:r>
      <w:r>
        <w:rPr>
          <w:rFonts w:ascii="仿宋_GB2312" w:eastAsia="仿宋_GB2312"/>
          <w:b w:val="false"/>
          <w:sz w:val="32"/>
          <w:szCs w:val="32"/>
        </w:rPr>
        <w:t>万元，其中：本年收入合计</w:t>
      </w:r>
      <w:r>
        <w:rPr>
          <w:rFonts w:ascii="仿宋_GB2312" w:eastAsia="仿宋_GB2312"/>
          <w:b w:val="false"/>
          <w:sz w:val="32"/>
          <w:szCs w:val="32"/>
        </w:rPr>
        <w:t>4,642.18</w:t>
      </w:r>
      <w:r>
        <w:rPr>
          <w:rFonts w:ascii="仿宋_GB2312" w:eastAsia="仿宋_GB2312"/>
          <w:b w:val="false"/>
          <w:sz w:val="32"/>
          <w:szCs w:val="32"/>
        </w:rPr>
        <w:t>万元，使用非财政拨款结余（含专用结余）</w:t>
      </w:r>
      <w:r>
        <w:rPr>
          <w:rFonts w:ascii="仿宋_GB2312" w:eastAsia="仿宋_GB2312"/>
          <w:b w:val="false"/>
          <w:sz w:val="32"/>
          <w:szCs w:val="32"/>
        </w:rPr>
        <w:t>0.00</w:t>
      </w:r>
      <w:r>
        <w:rPr>
          <w:rFonts w:ascii="仿宋_GB2312" w:eastAsia="仿宋_GB2312"/>
          <w:b w:val="false"/>
          <w:sz w:val="32"/>
          <w:szCs w:val="32"/>
        </w:rPr>
        <w:t>万元，年初结转和结余</w:t>
      </w:r>
      <w:r>
        <w:rPr>
          <w:rFonts w:ascii="仿宋_GB2312" w:eastAsia="仿宋_GB2312"/>
          <w:b w:val="false"/>
          <w:sz w:val="32"/>
          <w:szCs w:val="32"/>
        </w:rPr>
        <w:t>166.29</w:t>
      </w:r>
      <w:r>
        <w:rPr>
          <w:rFonts w:ascii="仿宋_GB2312" w:eastAsia="仿宋_GB2312"/>
          <w:b w:val="false"/>
          <w:sz w:val="32"/>
          <w:szCs w:val="32"/>
        </w:rPr>
        <w:t>万元。</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2024年度支出总计</w:t>
      </w:r>
      <w:r>
        <w:rPr>
          <w:rFonts w:ascii="仿宋_GB2312" w:eastAsia="仿宋_GB2312"/>
          <w:b w:val="false"/>
          <w:sz w:val="32"/>
          <w:szCs w:val="32"/>
        </w:rPr>
        <w:t>4,808.47</w:t>
      </w:r>
      <w:r>
        <w:rPr>
          <w:rFonts w:ascii="仿宋_GB2312" w:eastAsia="仿宋_GB2312"/>
          <w:b w:val="false"/>
          <w:sz w:val="32"/>
          <w:szCs w:val="32"/>
        </w:rPr>
        <w:t>万元，其中：本年支出合计</w:t>
      </w:r>
      <w:r>
        <w:rPr>
          <w:rFonts w:ascii="仿宋_GB2312" w:eastAsia="仿宋_GB2312"/>
          <w:b w:val="false"/>
          <w:sz w:val="32"/>
          <w:szCs w:val="32"/>
        </w:rPr>
        <w:t>4,680.29</w:t>
      </w:r>
      <w:r>
        <w:rPr>
          <w:rFonts w:ascii="仿宋_GB2312" w:eastAsia="仿宋_GB2312"/>
          <w:b w:val="false"/>
          <w:sz w:val="32"/>
          <w:szCs w:val="32"/>
        </w:rPr>
        <w:t>万元，结余分配</w:t>
      </w:r>
      <w:r>
        <w:rPr>
          <w:rFonts w:ascii="仿宋_GB2312" w:eastAsia="仿宋_GB2312"/>
          <w:b w:val="false"/>
          <w:sz w:val="32"/>
          <w:szCs w:val="32"/>
        </w:rPr>
        <w:t>0.00</w:t>
      </w:r>
      <w:r>
        <w:rPr>
          <w:rFonts w:ascii="仿宋_GB2312" w:eastAsia="仿宋_GB2312"/>
          <w:b w:val="false"/>
          <w:sz w:val="32"/>
          <w:szCs w:val="32"/>
        </w:rPr>
        <w:t>万元，年末结转和结余</w:t>
      </w:r>
      <w:r>
        <w:rPr>
          <w:rFonts w:ascii="仿宋_GB2312" w:eastAsia="仿宋_GB2312"/>
          <w:b w:val="false"/>
          <w:sz w:val="32"/>
          <w:szCs w:val="32"/>
        </w:rPr>
        <w:t>128.17</w:t>
      </w:r>
      <w:r>
        <w:rPr>
          <w:rFonts w:ascii="仿宋_GB2312" w:eastAsia="仿宋_GB2312"/>
          <w:b w:val="false"/>
          <w:sz w:val="32"/>
          <w:szCs w:val="32"/>
        </w:rPr>
        <w:t>万元。</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收入支出总体与上年相比，</w:t>
      </w:r>
      <w:r>
        <w:rPr>
          <w:rFonts w:ascii="仿宋_GB2312" w:eastAsia="仿宋_GB2312"/>
          <w:b w:val="false"/>
          <w:sz w:val="32"/>
          <w:szCs w:val="32"/>
        </w:rPr>
        <w:t>减少</w:t>
      </w:r>
      <w:r>
        <w:rPr>
          <w:rFonts w:ascii="仿宋_GB2312" w:eastAsia="仿宋_GB2312"/>
          <w:b w:val="false"/>
          <w:sz w:val="32"/>
          <w:szCs w:val="32"/>
        </w:rPr>
        <w:t>1,599.75</w:t>
      </w:r>
      <w:r>
        <w:rPr>
          <w:rFonts w:ascii="仿宋_GB2312" w:eastAsia="仿宋_GB2312"/>
          <w:b w:val="false"/>
          <w:sz w:val="32"/>
          <w:szCs w:val="32"/>
        </w:rPr>
        <w:t>万元，</w:t>
      </w:r>
      <w:r>
        <w:rPr>
          <w:rFonts w:ascii="仿宋_GB2312" w:eastAsia="仿宋_GB2312"/>
          <w:b w:val="false"/>
          <w:sz w:val="32"/>
          <w:szCs w:val="32"/>
        </w:rPr>
        <w:t>下降</w:t>
      </w:r>
      <w:r>
        <w:rPr>
          <w:rFonts w:ascii="仿宋_GB2312" w:eastAsia="仿宋_GB2312"/>
          <w:b w:val="false"/>
          <w:sz w:val="32"/>
          <w:szCs w:val="32"/>
        </w:rPr>
        <w:t>24.96</w:t>
      </w:r>
      <w:r>
        <w:rPr>
          <w:rFonts w:ascii="仿宋_GB2312" w:eastAsia="仿宋_GB2312"/>
          <w:b w:val="false"/>
          <w:sz w:val="32"/>
          <w:szCs w:val="32"/>
        </w:rPr>
        <w:t>%，</w:t>
      </w:r>
      <w:r>
        <w:rPr>
          <w:rFonts w:ascii="仿宋_GB2312" w:eastAsia="仿宋_GB2312"/>
          <w:b w:val="false"/>
          <w:sz w:val="32"/>
          <w:szCs w:val="32"/>
        </w:rPr>
        <w:t>主要原因是：</w:t>
      </w:r>
      <w:r>
        <w:rPr>
          <w:rFonts w:ascii="仿宋_GB2312" w:eastAsia="仿宋_GB2312"/>
          <w:b w:val="false"/>
          <w:sz w:val="32"/>
          <w:szCs w:val="32"/>
        </w:rPr>
        <w:t>一是因机构改革，本年人员较上年大幅减少，人员工资福利及日常公用经费等支出减少；二是因机构改革相关部门职能转隶，民族工作及培训专项经费较上年减少；三是离休人员去世，离休人员经费较上年减少；四是非财政资金收入较上年减少</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二、收入决算情况说明</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本年收入</w:t>
      </w:r>
      <w:r>
        <w:rPr>
          <w:rFonts w:ascii="仿宋_GB2312" w:eastAsia="仿宋_GB2312"/>
          <w:b w:val="false"/>
          <w:sz w:val="32"/>
          <w:szCs w:val="32"/>
        </w:rPr>
        <w:t>4,642.18</w:t>
      </w:r>
      <w:r>
        <w:rPr>
          <w:rFonts w:ascii="仿宋_GB2312" w:eastAsia="仿宋_GB2312"/>
          <w:b w:val="false"/>
          <w:sz w:val="32"/>
          <w:szCs w:val="32"/>
        </w:rPr>
        <w:t>万元，其中：财政拨款收入</w:t>
      </w:r>
      <w:r>
        <w:rPr>
          <w:rFonts w:ascii="仿宋_GB2312" w:eastAsia="仿宋_GB2312"/>
          <w:b w:val="false"/>
          <w:sz w:val="32"/>
          <w:szCs w:val="32"/>
        </w:rPr>
        <w:t>4,515.00</w:t>
      </w:r>
      <w:r>
        <w:rPr>
          <w:rFonts w:ascii="仿宋_GB2312" w:eastAsia="仿宋_GB2312"/>
          <w:b w:val="false"/>
          <w:sz w:val="32"/>
          <w:szCs w:val="32"/>
        </w:rPr>
        <w:t>万元,占</w:t>
      </w:r>
      <w:r>
        <w:rPr>
          <w:rFonts w:ascii="仿宋_GB2312" w:eastAsia="仿宋_GB2312"/>
          <w:b w:val="false"/>
          <w:sz w:val="32"/>
          <w:szCs w:val="32"/>
        </w:rPr>
        <w:t>97.26</w:t>
      </w:r>
      <w:r>
        <w:rPr>
          <w:rFonts w:ascii="仿宋_GB2312" w:eastAsia="仿宋_GB2312"/>
          <w:b w:val="false"/>
          <w:sz w:val="32"/>
          <w:szCs w:val="32"/>
        </w:rPr>
        <w:t>%；上级补助收入</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%；事业收入</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%；经营收入</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%；附属单位上缴收入</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%；其他收入</w:t>
      </w:r>
      <w:r>
        <w:rPr>
          <w:rFonts w:ascii="仿宋_GB2312" w:eastAsia="仿宋_GB2312"/>
          <w:b w:val="false"/>
          <w:sz w:val="32"/>
          <w:szCs w:val="32"/>
        </w:rPr>
        <w:t>127.17</w:t>
      </w:r>
      <w:r>
        <w:rPr>
          <w:rFonts w:ascii="仿宋_GB2312" w:eastAsia="仿宋_GB2312"/>
          <w:b w:val="false"/>
          <w:sz w:val="32"/>
          <w:szCs w:val="32"/>
        </w:rPr>
        <w:t>万元，占</w:t>
      </w:r>
      <w:r>
        <w:rPr>
          <w:rFonts w:ascii="仿宋_GB2312" w:eastAsia="仿宋_GB2312"/>
          <w:b w:val="false"/>
          <w:sz w:val="32"/>
          <w:szCs w:val="32"/>
        </w:rPr>
        <w:t>2.74</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三、支出决算情况说明</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本年支出</w:t>
      </w:r>
      <w:r>
        <w:rPr>
          <w:rFonts w:ascii="仿宋_GB2312" w:eastAsia="仿宋_GB2312"/>
          <w:b w:val="false"/>
          <w:sz w:val="32"/>
          <w:szCs w:val="32"/>
        </w:rPr>
        <w:t>4,680.29</w:t>
      </w:r>
      <w:r>
        <w:rPr>
          <w:rFonts w:ascii="仿宋_GB2312" w:eastAsia="仿宋_GB2312"/>
          <w:b w:val="false"/>
          <w:sz w:val="32"/>
          <w:szCs w:val="32"/>
        </w:rPr>
        <w:t>万元，其中：基本支出</w:t>
      </w:r>
      <w:r>
        <w:rPr>
          <w:rFonts w:ascii="仿宋_GB2312" w:eastAsia="仿宋_GB2312"/>
          <w:b w:val="false"/>
          <w:sz w:val="32"/>
          <w:szCs w:val="32"/>
        </w:rPr>
        <w:t>3,618.86</w:t>
      </w:r>
      <w:r>
        <w:rPr>
          <w:rFonts w:ascii="仿宋_GB2312" w:eastAsia="仿宋_GB2312"/>
          <w:b w:val="false"/>
          <w:sz w:val="32"/>
          <w:szCs w:val="32"/>
        </w:rPr>
        <w:t>万元，占</w:t>
      </w:r>
      <w:r>
        <w:rPr>
          <w:rFonts w:ascii="仿宋_GB2312" w:eastAsia="仿宋_GB2312"/>
          <w:b w:val="false"/>
          <w:sz w:val="32"/>
          <w:szCs w:val="32"/>
        </w:rPr>
        <w:t>77.32</w:t>
      </w:r>
      <w:r>
        <w:rPr>
          <w:rFonts w:ascii="仿宋_GB2312" w:eastAsia="仿宋_GB2312"/>
          <w:b w:val="false"/>
          <w:sz w:val="32"/>
          <w:szCs w:val="32"/>
        </w:rPr>
        <w:t>%；项目支出</w:t>
      </w:r>
      <w:r>
        <w:rPr>
          <w:rFonts w:ascii="仿宋_GB2312" w:eastAsia="仿宋_GB2312"/>
          <w:b w:val="false"/>
          <w:sz w:val="32"/>
          <w:szCs w:val="32"/>
        </w:rPr>
        <w:t>1,061.43</w:t>
      </w:r>
      <w:r>
        <w:rPr>
          <w:rFonts w:ascii="仿宋_GB2312" w:eastAsia="仿宋_GB2312"/>
          <w:b w:val="false"/>
          <w:sz w:val="32"/>
          <w:szCs w:val="32"/>
        </w:rPr>
        <w:t>万元，占</w:t>
      </w:r>
      <w:r>
        <w:rPr>
          <w:rFonts w:ascii="仿宋_GB2312" w:eastAsia="仿宋_GB2312"/>
          <w:b w:val="false"/>
          <w:sz w:val="32"/>
          <w:szCs w:val="32"/>
        </w:rPr>
        <w:t>22.68</w:t>
      </w:r>
      <w:r>
        <w:rPr>
          <w:rFonts w:ascii="仿宋_GB2312" w:eastAsia="仿宋_GB2312"/>
          <w:b w:val="false"/>
          <w:sz w:val="32"/>
          <w:szCs w:val="32"/>
        </w:rPr>
        <w:t>%；上缴上级支出</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%；经营支出</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%；对附属单位补助支出</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四、财政拨款收入支出决算总体情况说明</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2024年度财政拨款收入总计</w:t>
      </w:r>
      <w:r>
        <w:rPr>
          <w:rFonts w:ascii="仿宋_GB2312" w:eastAsia="仿宋_GB2312"/>
          <w:b w:val="false"/>
          <w:sz w:val="32"/>
          <w:szCs w:val="32"/>
        </w:rPr>
        <w:t>4,515.00</w:t>
      </w:r>
      <w:r>
        <w:rPr>
          <w:rFonts w:ascii="仿宋_GB2312" w:eastAsia="仿宋_GB2312"/>
          <w:b w:val="false"/>
          <w:sz w:val="32"/>
          <w:szCs w:val="32"/>
        </w:rPr>
        <w:t>万元，其中：年初财政拨款结转和结余</w:t>
      </w:r>
      <w:r>
        <w:rPr>
          <w:rFonts w:ascii="仿宋_GB2312" w:eastAsia="仿宋_GB2312"/>
          <w:b w:val="false"/>
          <w:sz w:val="32"/>
          <w:szCs w:val="32"/>
        </w:rPr>
        <w:t>0.00</w:t>
      </w:r>
      <w:r>
        <w:rPr>
          <w:rFonts w:ascii="仿宋_GB2312" w:eastAsia="仿宋_GB2312"/>
          <w:b w:val="false"/>
          <w:sz w:val="32"/>
          <w:szCs w:val="32"/>
        </w:rPr>
        <w:t>万元，本年财政拨款收入</w:t>
      </w:r>
      <w:r>
        <w:rPr>
          <w:rFonts w:ascii="仿宋_GB2312" w:eastAsia="仿宋_GB2312"/>
          <w:b w:val="false"/>
          <w:sz w:val="32"/>
          <w:szCs w:val="32"/>
        </w:rPr>
        <w:t>4,515.00</w:t>
      </w:r>
      <w:r>
        <w:rPr>
          <w:rFonts w:ascii="仿宋_GB2312" w:eastAsia="仿宋_GB2312"/>
          <w:b w:val="false"/>
          <w:sz w:val="32"/>
          <w:szCs w:val="32"/>
        </w:rPr>
        <w:t>万元。财政拨款支出总计</w:t>
      </w:r>
      <w:r>
        <w:rPr>
          <w:rFonts w:ascii="仿宋_GB2312" w:eastAsia="仿宋_GB2312"/>
          <w:b w:val="false"/>
          <w:sz w:val="32"/>
          <w:szCs w:val="32"/>
        </w:rPr>
        <w:t>4,515.00</w:t>
      </w:r>
      <w:r>
        <w:rPr>
          <w:rFonts w:ascii="仿宋_GB2312" w:eastAsia="仿宋_GB2312"/>
          <w:b w:val="false"/>
          <w:sz w:val="32"/>
          <w:szCs w:val="32"/>
        </w:rPr>
        <w:t>万元，其中：年末财政拨款结转和结余</w:t>
      </w:r>
      <w:r>
        <w:rPr>
          <w:rFonts w:ascii="仿宋_GB2312" w:eastAsia="仿宋_GB2312"/>
          <w:b w:val="false"/>
          <w:sz w:val="32"/>
          <w:szCs w:val="32"/>
        </w:rPr>
        <w:t>79.71</w:t>
      </w:r>
      <w:r>
        <w:rPr>
          <w:rFonts w:ascii="仿宋_GB2312" w:eastAsia="仿宋_GB2312"/>
          <w:b w:val="false"/>
          <w:sz w:val="32"/>
          <w:szCs w:val="32"/>
        </w:rPr>
        <w:t>万元，本年财政拨款支出</w:t>
      </w:r>
      <w:r>
        <w:rPr>
          <w:rFonts w:ascii="仿宋_GB2312" w:eastAsia="仿宋_GB2312"/>
          <w:b w:val="false"/>
          <w:sz w:val="32"/>
          <w:szCs w:val="32"/>
        </w:rPr>
        <w:t>4,435.30</w:t>
      </w:r>
      <w:r>
        <w:rPr>
          <w:rFonts w:ascii="仿宋_GB2312" w:eastAsia="仿宋_GB2312"/>
          <w:b w:val="false"/>
          <w:sz w:val="32"/>
          <w:szCs w:val="32"/>
        </w:rPr>
        <w:t>万元。</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财政拨款收入支出总体与上年相比，</w:t>
      </w:r>
      <w:r>
        <w:rPr>
          <w:rFonts w:ascii="仿宋_GB2312" w:eastAsia="仿宋_GB2312"/>
          <w:b w:val="false"/>
          <w:sz w:val="32"/>
          <w:szCs w:val="32"/>
        </w:rPr>
        <w:t>减少</w:t>
      </w:r>
      <w:r>
        <w:rPr>
          <w:rFonts w:ascii="仿宋_GB2312" w:eastAsia="仿宋_GB2312"/>
          <w:b w:val="false"/>
          <w:sz w:val="32"/>
          <w:szCs w:val="32"/>
        </w:rPr>
        <w:t>1,432.64</w:t>
      </w:r>
      <w:r>
        <w:rPr>
          <w:rFonts w:ascii="仿宋_GB2312" w:eastAsia="仿宋_GB2312"/>
          <w:b w:val="false"/>
          <w:sz w:val="32"/>
          <w:szCs w:val="32"/>
        </w:rPr>
        <w:t>万元，</w:t>
      </w:r>
      <w:r>
        <w:rPr>
          <w:rFonts w:ascii="仿宋_GB2312" w:eastAsia="仿宋_GB2312"/>
          <w:b w:val="false"/>
          <w:sz w:val="32"/>
          <w:szCs w:val="32"/>
        </w:rPr>
        <w:t>下降</w:t>
      </w:r>
      <w:r>
        <w:rPr>
          <w:rFonts w:ascii="仿宋_GB2312" w:eastAsia="仿宋_GB2312"/>
          <w:b w:val="false"/>
          <w:sz w:val="32"/>
          <w:szCs w:val="32"/>
        </w:rPr>
        <w:t>24.09</w:t>
      </w:r>
      <w:r>
        <w:rPr>
          <w:rFonts w:ascii="仿宋_GB2312" w:eastAsia="仿宋_GB2312"/>
          <w:b w:val="false"/>
          <w:sz w:val="32"/>
          <w:szCs w:val="32"/>
        </w:rPr>
        <w:t>%</w:t>
      </w:r>
      <w:r>
        <w:rPr>
          <w:rFonts w:ascii="仿宋_GB2312" w:eastAsia="仿宋_GB2312"/>
          <w:b w:val="false"/>
          <w:sz w:val="32"/>
          <w:szCs w:val="32"/>
        </w:rPr>
        <w:t>，主要原因是：</w:t>
      </w:r>
      <w:r>
        <w:rPr>
          <w:rFonts w:ascii="仿宋_GB2312" w:eastAsia="仿宋_GB2312"/>
          <w:b w:val="false"/>
          <w:sz w:val="32"/>
          <w:szCs w:val="32"/>
        </w:rPr>
        <w:t>一是因机构改革，本年人员较上年大幅减少，人员工资福利及日常公用经费等支出减少；二是因机构改革相关部门职能转隶，民族工作及培训专项经费较上年减少；三是离休人员去世，离休人员经费较上年减少</w:t>
      </w:r>
      <w:r>
        <w:rPr>
          <w:rFonts w:ascii="仿宋_GB2312" w:eastAsia="仿宋_GB2312"/>
          <w:b w:val="false"/>
          <w:sz w:val="32"/>
          <w:szCs w:val="32"/>
        </w:rPr>
        <w:t>。与年初预算相比，年初预算数</w:t>
      </w:r>
      <w:r>
        <w:rPr>
          <w:rFonts w:ascii="仿宋_GB2312" w:eastAsia="仿宋_GB2312"/>
          <w:b w:val="false"/>
          <w:sz w:val="32"/>
          <w:szCs w:val="32"/>
        </w:rPr>
        <w:t>4,280.78</w:t>
      </w:r>
      <w:r>
        <w:rPr>
          <w:rFonts w:ascii="仿宋_GB2312" w:eastAsia="仿宋_GB2312"/>
          <w:b w:val="false"/>
          <w:sz w:val="32"/>
          <w:szCs w:val="32"/>
        </w:rPr>
        <w:t>万元，决算数</w:t>
      </w:r>
      <w:r>
        <w:rPr>
          <w:rFonts w:ascii="仿宋_GB2312" w:eastAsia="仿宋_GB2312"/>
          <w:b w:val="false"/>
          <w:sz w:val="32"/>
          <w:szCs w:val="32"/>
        </w:rPr>
        <w:t>4,515.00</w:t>
      </w:r>
      <w:r>
        <w:rPr>
          <w:rFonts w:ascii="仿宋_GB2312" w:eastAsia="仿宋_GB2312"/>
          <w:b w:val="false"/>
          <w:sz w:val="32"/>
          <w:szCs w:val="32"/>
        </w:rPr>
        <w:t>万元，预决算差异率</w:t>
      </w:r>
      <w:r>
        <w:rPr>
          <w:rFonts w:ascii="仿宋_GB2312" w:eastAsia="仿宋_GB2312"/>
          <w:b w:val="false"/>
          <w:sz w:val="32"/>
          <w:szCs w:val="32"/>
        </w:rPr>
        <w:t>5.47</w:t>
      </w:r>
      <w:r>
        <w:rPr>
          <w:rFonts w:ascii="仿宋_GB2312" w:eastAsia="仿宋_GB2312"/>
          <w:b w:val="false"/>
          <w:sz w:val="32"/>
          <w:szCs w:val="32"/>
        </w:rPr>
        <w:t>%</w:t>
      </w:r>
      <w:r>
        <w:rPr>
          <w:rFonts w:ascii="仿宋_GB2312" w:eastAsia="仿宋_GB2312"/>
          <w:b w:val="false"/>
          <w:sz w:val="32"/>
          <w:szCs w:val="32"/>
        </w:rPr>
        <w:t>，主要原因是：</w:t>
      </w:r>
      <w:r>
        <w:rPr>
          <w:rFonts w:ascii="仿宋_GB2312" w:eastAsia="仿宋_GB2312"/>
          <w:b w:val="false"/>
          <w:sz w:val="32"/>
          <w:szCs w:val="32"/>
        </w:rPr>
        <w:t>一是因机构改革，本年人员较上年大幅减少，人员工资福利及日常公用经费等支出减少；二是因机构改革相关部门职能转隶，民族工作及培训专项经费较上年减少；三是年中业务事项增加，追加第十二届全国少数民族运动会、新财行[2024]8号、职业年金、丧葬抚恤金等经费，项目经费支出增加；经核算，追加经费大于因机构改革减少的经费，造成当年决算数大于预算数</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五、一般公共预算财政拨款支出决算情况说明</w:t>
      </w:r>
    </w:p>
    <w:p>
      <w:pPr>
        <w:widowControl w:val="true"/>
        <w:spacing w:before="0" w:beforeLines="0" w:beforeAutospacing="false" w:after="0" w:afterLines="0" w:afterAutospacing="false" w:line="240" w:lineRule="auto"/>
        <w:ind w:firstLine="200" w:firstLineChars="200"/>
        <w:jc w:val="left"/>
        <w:outlineLvl w:val="2"/>
        <w:rPr>
          <w:rFonts w:ascii="黑体" w:eastAsia="黑体"/>
          <w:sz w:val="32"/>
          <w:szCs w:val="32"/>
        </w:rPr>
      </w:pPr>
      <w:r>
        <w:rPr>
          <w:rFonts w:ascii="黑体" w:eastAsia="黑体"/>
          <w:b w:val="false"/>
          <w:sz w:val="32"/>
          <w:szCs w:val="32"/>
        </w:rPr>
        <w:t>（一）一般公共预算财政拨款支出决算总体情况</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2024年度一般公共预算财政拨款支出</w:t>
      </w:r>
      <w:r>
        <w:rPr>
          <w:rFonts w:ascii="仿宋_GB2312" w:eastAsia="仿宋_GB2312"/>
          <w:b w:val="false"/>
          <w:sz w:val="32"/>
          <w:szCs w:val="32"/>
        </w:rPr>
        <w:t>4,435.30</w:t>
      </w:r>
      <w:r>
        <w:rPr>
          <w:rFonts w:ascii="仿宋_GB2312" w:eastAsia="仿宋_GB2312"/>
          <w:b w:val="false"/>
          <w:sz w:val="32"/>
          <w:szCs w:val="32"/>
        </w:rPr>
        <w:t>万元，占本年支出合计的</w:t>
      </w:r>
      <w:r>
        <w:rPr>
          <w:rFonts w:ascii="仿宋_GB2312" w:eastAsia="仿宋_GB2312"/>
          <w:b w:val="false"/>
          <w:sz w:val="32"/>
          <w:szCs w:val="32"/>
        </w:rPr>
        <w:t>94.77</w:t>
      </w:r>
      <w:r>
        <w:rPr>
          <w:rFonts w:ascii="仿宋_GB2312" w:eastAsia="仿宋_GB2312"/>
          <w:b w:val="false"/>
          <w:sz w:val="32"/>
          <w:szCs w:val="32"/>
        </w:rPr>
        <w:t>%。与上年相比，</w:t>
      </w:r>
      <w:r>
        <w:rPr>
          <w:rFonts w:ascii="仿宋_GB2312" w:eastAsia="仿宋_GB2312"/>
          <w:b w:val="false"/>
          <w:sz w:val="32"/>
          <w:szCs w:val="32"/>
        </w:rPr>
        <w:t>减少</w:t>
      </w:r>
      <w:r>
        <w:rPr>
          <w:rFonts w:ascii="仿宋_GB2312" w:eastAsia="仿宋_GB2312"/>
          <w:b w:val="false"/>
          <w:sz w:val="32"/>
          <w:szCs w:val="32"/>
        </w:rPr>
        <w:t>1,512.34</w:t>
      </w:r>
      <w:r>
        <w:rPr>
          <w:rFonts w:ascii="仿宋_GB2312" w:eastAsia="仿宋_GB2312"/>
          <w:b w:val="false"/>
          <w:sz w:val="32"/>
          <w:szCs w:val="32"/>
        </w:rPr>
        <w:t>万元，</w:t>
      </w:r>
      <w:r>
        <w:rPr>
          <w:rFonts w:ascii="仿宋_GB2312" w:eastAsia="仿宋_GB2312"/>
          <w:b w:val="false"/>
          <w:sz w:val="32"/>
          <w:szCs w:val="32"/>
        </w:rPr>
        <w:t>下降</w:t>
      </w:r>
      <w:r>
        <w:rPr>
          <w:rFonts w:ascii="仿宋_GB2312" w:eastAsia="仿宋_GB2312"/>
          <w:b w:val="false"/>
          <w:sz w:val="32"/>
          <w:szCs w:val="32"/>
        </w:rPr>
        <w:t>25.43</w:t>
      </w:r>
      <w:r>
        <w:rPr>
          <w:rFonts w:ascii="仿宋_GB2312" w:eastAsia="仿宋_GB2312"/>
          <w:b w:val="false"/>
          <w:sz w:val="32"/>
          <w:szCs w:val="32"/>
        </w:rPr>
        <w:t>%</w:t>
      </w:r>
      <w:r>
        <w:rPr>
          <w:rFonts w:ascii="仿宋_GB2312" w:eastAsia="仿宋_GB2312"/>
          <w:b w:val="false"/>
          <w:sz w:val="32"/>
          <w:szCs w:val="32"/>
        </w:rPr>
        <w:t>，主要原因是：</w:t>
      </w:r>
      <w:r>
        <w:rPr>
          <w:rFonts w:ascii="仿宋_GB2312" w:eastAsia="仿宋_GB2312"/>
          <w:b w:val="false"/>
          <w:sz w:val="32"/>
          <w:szCs w:val="32"/>
        </w:rPr>
        <w:t>一是因机构改革，本年人员较上年大幅减少，人员工资福利及日常公用经费等支出减少；二是因机构改革相关部门职能转隶，民族工作及培训专项经费较上年减少；三是离休人员去世，离休人员经费较上年减少</w:t>
      </w:r>
      <w:r>
        <w:rPr>
          <w:rFonts w:ascii="仿宋_GB2312" w:eastAsia="仿宋_GB2312"/>
          <w:b w:val="false"/>
          <w:sz w:val="32"/>
          <w:szCs w:val="32"/>
        </w:rPr>
        <w:t>。与年初预算相比，年初预算数</w:t>
      </w:r>
      <w:r>
        <w:rPr>
          <w:rFonts w:ascii="仿宋_GB2312" w:eastAsia="仿宋_GB2312"/>
          <w:b w:val="false"/>
          <w:sz w:val="32"/>
          <w:szCs w:val="32"/>
        </w:rPr>
        <w:t>4,280.78</w:t>
      </w:r>
      <w:r>
        <w:rPr>
          <w:rFonts w:ascii="仿宋_GB2312" w:eastAsia="仿宋_GB2312"/>
          <w:b w:val="false"/>
          <w:sz w:val="32"/>
          <w:szCs w:val="32"/>
        </w:rPr>
        <w:t>万元，决算数</w:t>
      </w:r>
      <w:r>
        <w:rPr>
          <w:rFonts w:ascii="仿宋_GB2312" w:eastAsia="仿宋_GB2312"/>
          <w:b w:val="false"/>
          <w:sz w:val="32"/>
          <w:szCs w:val="32"/>
        </w:rPr>
        <w:t>4,435.30</w:t>
      </w:r>
      <w:r>
        <w:rPr>
          <w:rFonts w:ascii="仿宋_GB2312" w:eastAsia="仿宋_GB2312"/>
          <w:b w:val="false"/>
          <w:sz w:val="32"/>
          <w:szCs w:val="32"/>
        </w:rPr>
        <w:t>万元，预决算差异率</w:t>
      </w:r>
      <w:r>
        <w:rPr>
          <w:rFonts w:ascii="仿宋_GB2312" w:eastAsia="仿宋_GB2312"/>
          <w:b w:val="false"/>
          <w:sz w:val="32"/>
          <w:szCs w:val="32"/>
        </w:rPr>
        <w:t>3.61</w:t>
      </w:r>
      <w:r>
        <w:rPr>
          <w:rFonts w:ascii="仿宋_GB2312" w:eastAsia="仿宋_GB2312"/>
          <w:b w:val="false"/>
          <w:sz w:val="32"/>
          <w:szCs w:val="32"/>
        </w:rPr>
        <w:t>%</w:t>
      </w:r>
      <w:r>
        <w:rPr>
          <w:rFonts w:ascii="仿宋_GB2312" w:eastAsia="仿宋_GB2312"/>
          <w:b w:val="false"/>
          <w:sz w:val="32"/>
          <w:szCs w:val="32"/>
        </w:rPr>
        <w:t>，主要原因是：</w:t>
      </w:r>
      <w:r>
        <w:rPr>
          <w:rFonts w:ascii="仿宋_GB2312" w:eastAsia="仿宋_GB2312"/>
          <w:b w:val="false"/>
          <w:sz w:val="32"/>
          <w:szCs w:val="32"/>
        </w:rPr>
        <w:t>一是因机构改革，本年人员较上年大幅减少，人员工资福利及日常公用经费等支出减少；二是因机构改革相关部门职能转隶，民族工作及培训专项经费较上年减少；三是年中业务事项增加，追加第十二届全国少数民族运动会、新财行[2024]8号、职业年金、丧葬抚恤金等经费，项目经费支出增加；经核算，追加经费大于因机构改革减少的经费，造成当年决算数大于预算数</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2"/>
        <w:rPr>
          <w:rFonts w:ascii="黑体" w:eastAsia="黑体"/>
          <w:sz w:val="32"/>
          <w:szCs w:val="32"/>
        </w:rPr>
      </w:pPr>
      <w:r>
        <w:rPr>
          <w:rFonts w:ascii="黑体" w:eastAsia="黑体"/>
          <w:b w:val="false"/>
          <w:sz w:val="32"/>
          <w:szCs w:val="32"/>
        </w:rPr>
        <w:t>（二）一般公共预算财政拨款支出决算结构情况</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一般公共服务支出（类）</w:t>
      </w:r>
      <w:r>
        <w:rPr>
          <w:rFonts w:ascii="仿宋_GB2312" w:eastAsia="仿宋_GB2312"/>
          <w:b w:val="false"/>
          <w:sz w:val="32"/>
          <w:szCs w:val="32"/>
        </w:rPr>
        <w:t>3,395.69</w:t>
      </w:r>
      <w:r>
        <w:rPr>
          <w:rFonts w:ascii="仿宋_GB2312" w:eastAsia="仿宋_GB2312"/>
          <w:b w:val="false"/>
          <w:sz w:val="32"/>
          <w:szCs w:val="32"/>
        </w:rPr>
        <w:t>万元，占</w:t>
      </w:r>
      <w:r>
        <w:rPr>
          <w:rFonts w:ascii="仿宋_GB2312" w:eastAsia="仿宋_GB2312"/>
          <w:b w:val="false"/>
          <w:sz w:val="32"/>
          <w:szCs w:val="32"/>
        </w:rPr>
        <w:t>76.56</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社会保障和就业支出（类）</w:t>
      </w:r>
      <w:r>
        <w:rPr>
          <w:rFonts w:ascii="仿宋_GB2312" w:eastAsia="仿宋_GB2312"/>
          <w:b w:val="false"/>
          <w:sz w:val="32"/>
          <w:szCs w:val="32"/>
        </w:rPr>
        <w:t>606.09</w:t>
      </w:r>
      <w:r>
        <w:rPr>
          <w:rFonts w:ascii="仿宋_GB2312" w:eastAsia="仿宋_GB2312"/>
          <w:b w:val="false"/>
          <w:sz w:val="32"/>
          <w:szCs w:val="32"/>
        </w:rPr>
        <w:t>万元，占</w:t>
      </w:r>
      <w:r>
        <w:rPr>
          <w:rFonts w:ascii="仿宋_GB2312" w:eastAsia="仿宋_GB2312"/>
          <w:b w:val="false"/>
          <w:sz w:val="32"/>
          <w:szCs w:val="32"/>
        </w:rPr>
        <w:t>13.67</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卫生健康支出（类）</w:t>
      </w:r>
      <w:r>
        <w:rPr>
          <w:rFonts w:ascii="仿宋_GB2312" w:eastAsia="仿宋_GB2312"/>
          <w:b w:val="false"/>
          <w:sz w:val="32"/>
          <w:szCs w:val="32"/>
        </w:rPr>
        <w:t>235.81</w:t>
      </w:r>
      <w:r>
        <w:rPr>
          <w:rFonts w:ascii="仿宋_GB2312" w:eastAsia="仿宋_GB2312"/>
          <w:b w:val="false"/>
          <w:sz w:val="32"/>
          <w:szCs w:val="32"/>
        </w:rPr>
        <w:t>万元，占</w:t>
      </w:r>
      <w:r>
        <w:rPr>
          <w:rFonts w:ascii="仿宋_GB2312" w:eastAsia="仿宋_GB2312"/>
          <w:b w:val="false"/>
          <w:sz w:val="32"/>
          <w:szCs w:val="32"/>
        </w:rPr>
        <w:t>5.32</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住房保障支出（类）</w:t>
      </w:r>
      <w:r>
        <w:rPr>
          <w:rFonts w:ascii="仿宋_GB2312" w:eastAsia="仿宋_GB2312"/>
          <w:b w:val="false"/>
          <w:sz w:val="32"/>
          <w:szCs w:val="32"/>
        </w:rPr>
        <w:t>197.71</w:t>
      </w:r>
      <w:r>
        <w:rPr>
          <w:rFonts w:ascii="仿宋_GB2312" w:eastAsia="仿宋_GB2312"/>
          <w:b w:val="false"/>
          <w:sz w:val="32"/>
          <w:szCs w:val="32"/>
        </w:rPr>
        <w:t>万元，占</w:t>
      </w:r>
      <w:r>
        <w:rPr>
          <w:rFonts w:ascii="仿宋_GB2312" w:eastAsia="仿宋_GB2312"/>
          <w:b w:val="false"/>
          <w:sz w:val="32"/>
          <w:szCs w:val="32"/>
        </w:rPr>
        <w:t>4.46</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2"/>
        <w:rPr>
          <w:rFonts w:ascii="黑体" w:eastAsia="黑体"/>
          <w:sz w:val="32"/>
          <w:szCs w:val="32"/>
        </w:rPr>
      </w:pPr>
      <w:r>
        <w:rPr>
          <w:rFonts w:ascii="黑体" w:eastAsia="黑体"/>
          <w:b w:val="false"/>
          <w:sz w:val="32"/>
          <w:szCs w:val="32"/>
        </w:rPr>
        <w:t>（三）一般公共预算财政拨款支出决算具体情况</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1、一般公共服务支出（类）民族事务（款）行政运行（项）：支出决算数为1,631.25万元，比上年决算减少384.43万元，下降19.07%，主要原因是：因机构改革，本年人员较上年大幅减少，人员工资福利及日常公用经费等支出减少。</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2、一般公共服务支出（类）民族事务（款）一般行政管理事务（项）：支出决算数为0.00万元，比上年决算减少7.00万元，下降100.00%，主要原因是：2023年7.00万元为当年追加的新疆骨干人才研修项目经费，2024年无此项目支出。</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3、一般公共服务支出（类）民族事务（款）机关服务（项）：支出决算数为174.71万元，比上年决算减少9.52万元，下降5.17%，主要原因是：较上年在职人员减少，人员工资福利支出减少。</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4、一般公共服务支出（类）民族事务（款）民族工作专项（项）：支出决算数为0.00万元，比上年决算减少35.64万元，下降100.00%，主要原因是：2023年35.64万元为当年追加的人才发展基金项目经费，2024年无此项目支出。</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5、一般公共服务支出（类）民族事务（款）事业运行（项）：支出决算数为520.26万元，比上年决算减少57.27万元，下降9.92%，主要原因是：较上年在职人员减少，人员工资福利支出减少。</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6、一般公共服务支出（类）民族事务（款）其他民族事务支出（项）：支出决算数为527.85万元，比上年决算减少794.95万元，下降60.10%，主要原因是：一是因机构改革相关部门职能转隶，民族工作及培训专项经费较上年减少；二是业务事项减少，较上年追加的用于民族事务支出的项目经费减少。</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7、一般公共服务支出（类）统战事务（款）行政运行（项）：支出决算数为202.23万元，比上年决算减少34.69万元，下降14.64%，主要原因是：人员调动，人员工资福利支出减少。</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8、一般公共服务支出（类）统战事务（款）宗教事务（项）：支出决算数为212.44万元，比上年决算增加11.05万元，增长5.49%，主要原因是：因业务工作需要，追加宗教事务项目经费。</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9、一般公共服务支出（类）统战事务（款）事业运行（项）：支出决算数为50.80万元，比上年决算增加11.68万元，增长29.86%，主要原因是：人员工资调整，人员工资福利支出增加。</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10、一般公共服务支出（类）统战事务（款）其他统战事务支出（项）：支出决算数为76.14万元，比上年决算减少3.08万元，下降3.89%，主要原因是：压缩项目经费中一般性支出，其他统战事务支出减少。</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11、社会保障和就业支出（类）行政事业单位养老支出（款）行政单位离退休（项）：支出决算数为191.38万元，比上年决算减少12.85万元，下降6.29%，主要原因是：离休人员去世，离休人员经费较上年减少。</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12、社会保障和就业支出（类）行政事业单位养老支出（款）事业单位离退休（项）：支出决算数为69.09万元，比上年决算增加5.99万元，增长9.49%，主要原因是：在职转退休人员增加，事业单位离退休支出增加。</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13、社会保障和就业支出（类）行政事业单位养老支出（款）机关事业单位基本养老保险缴费支出（项）：支出决算数为253.55万元，比上年决算减少55.53万元，下降17.97%，主要原因是：因机构改革，本年人员较上年大幅减少，行政事业单位基本养老保险缴费支出减少。</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14、社会保障和就业支出（类）行政事业单位养老支出（款）机关事业单位职业年金缴费支出（项）：支出决算数为92.07万元，比上年决算减少48.52万元，下降34.51%，主要原因是：本年在职转退休人员较上年减少，追加的职业年金缴费支出减少。</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15、卫生健康支出（类）行政事业单位医疗（款）行政单位医疗（项）：支出决算数为66.05万元，比上年决算减少34.03万元，下降34.00%，主要原因是：因机构改革，本年人员较上年大幅减少，行政单位医疗缴费支出减少。</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16、卫生健康支出（类）行政事业单位医疗（款）事业单位医疗（项）：支出决算数为50.80万元，比上年决算增加6.00万元，增长13.39%，主要原因是：在职人员行政事业单位医疗保险基数提高，事业单位医疗费支出增加。</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17、卫生健康支出（类）行政事业单位医疗（款）公务员医疗补助（项）：支出决算数为118.96万元，比上年决算减少16.26万元，下降12.02%，主要原因是：因机构改革，本年人员较上年大幅减少，公务员医疗补助支出减少。</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18、节能环保支出（类）能源节约利用（款）能源节约利用（项）：支出决算数为0.00万元，比上年决算减少19.22万元，下降100.00%，主要原因是：2023年19.22万元为当年追加的绿色食堂示范项目经费，2024年无此项目支出。</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19、住房保障支出（类）住房改革支出（款）住房公积金（项）：支出决算数为197.71万元，比上年决算减少34.10万元，下降14.71%，主要原因是：因机构改革，本年人员较上年大幅减少，住房公积金支出减少。</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六、一般公共预算财政拨款基本支出决算情况说明</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2024年度一般公共预算财政拨款基本支出</w:t>
      </w:r>
      <w:r>
        <w:rPr>
          <w:rFonts w:ascii="仿宋_GB2312" w:eastAsia="仿宋_GB2312"/>
          <w:b w:val="false"/>
          <w:sz w:val="32"/>
          <w:szCs w:val="32"/>
        </w:rPr>
        <w:t>3,618.86</w:t>
      </w:r>
      <w:r>
        <w:rPr>
          <w:rFonts w:ascii="仿宋_GB2312" w:eastAsia="仿宋_GB2312"/>
          <w:b w:val="false"/>
          <w:sz w:val="32"/>
          <w:szCs w:val="32"/>
        </w:rPr>
        <w:t>万元，其中：人员经费</w:t>
      </w:r>
      <w:r>
        <w:rPr>
          <w:rFonts w:ascii="仿宋_GB2312" w:eastAsia="仿宋_GB2312"/>
          <w:b w:val="false"/>
          <w:sz w:val="32"/>
          <w:szCs w:val="32"/>
        </w:rPr>
        <w:t>3,230.76</w:t>
      </w:r>
      <w:r>
        <w:rPr>
          <w:rFonts w:ascii="仿宋_GB2312" w:eastAsia="仿宋_GB2312"/>
          <w:b w:val="false"/>
          <w:sz w:val="32"/>
          <w:szCs w:val="32"/>
        </w:rPr>
        <w:t>万元，包括：</w:t>
      </w:r>
      <w:r>
        <w:rPr>
          <w:rFonts w:ascii="仿宋_GB2312" w:eastAsia="仿宋_GB2312"/>
          <w:b w:val="false"/>
          <w:sz w:val="32"/>
          <w:szCs w:val="32"/>
        </w:rPr>
        <w:t>基本工资、津贴补贴、奖金、绩效工资、机关事业单位基本养老保险缴费、职业年金缴费、职工基本医疗保险缴费、公务员医疗补助缴费、其他社会保障缴费、住房公积金、其他工资福利支出、离休费、退休费、抚恤金、生活补助和其他对个人和家庭的补助</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公用经费</w:t>
      </w:r>
      <w:r>
        <w:rPr>
          <w:rFonts w:ascii="仿宋_GB2312" w:eastAsia="仿宋_GB2312"/>
          <w:b w:val="false"/>
          <w:sz w:val="32"/>
          <w:szCs w:val="32"/>
        </w:rPr>
        <w:t>388.11</w:t>
      </w:r>
      <w:r>
        <w:rPr>
          <w:rFonts w:ascii="仿宋_GB2312" w:eastAsia="仿宋_GB2312"/>
          <w:b w:val="false"/>
          <w:sz w:val="32"/>
          <w:szCs w:val="32"/>
        </w:rPr>
        <w:t>万元，包括：</w:t>
      </w:r>
      <w:r>
        <w:rPr>
          <w:rFonts w:ascii="仿宋_GB2312" w:eastAsia="仿宋_GB2312"/>
          <w:b w:val="false"/>
          <w:sz w:val="32"/>
          <w:szCs w:val="32"/>
        </w:rPr>
        <w:t>办公费、水费、电费、邮电费、取暖费、物业管理费、差旅费、公务接待费、工会经费、福利费、公务用车运行维护费和其他商品和服务支出</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七、政府性基金预算财政拨款收入支出决算情况说明</w:t>
      </w:r>
      <w:r>
        <w:rPr>
          <w:rFonts w:ascii="黑体" w:eastAsia="黑体"/>
          <w:b w:val="false"/>
          <w:sz w:val="32"/>
          <w:szCs w:val="32"/>
        </w:rPr>
        <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本</w:t>
      </w:r>
      <w:r>
        <w:rPr>
          <w:rFonts w:ascii="仿宋_GB2312" w:eastAsia="仿宋_GB2312"/>
          <w:b w:val="false"/>
          <w:sz w:val="32"/>
          <w:szCs w:val="32"/>
        </w:rPr>
        <w:t>部门</w:t>
      </w:r>
      <w:r>
        <w:rPr>
          <w:rFonts w:ascii="仿宋_GB2312" w:eastAsia="仿宋_GB2312"/>
          <w:b w:val="false"/>
          <w:sz w:val="32"/>
          <w:szCs w:val="32"/>
        </w:rPr>
        <w:t>本年度无政府性基金预算财政拨款收入、支出及结转和结余，政府性基金预算财政拨款收入支出决算表为空表。</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八、国有资本经营预算财政拨款收入支出决算情况说明</w:t>
      </w:r>
      <w:r>
        <w:rPr>
          <w:rFonts w:ascii="黑体" w:eastAsia="黑体"/>
          <w:b w:val="false"/>
          <w:sz w:val="32"/>
          <w:szCs w:val="32"/>
        </w:rPr>
        <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本</w:t>
      </w:r>
      <w:r>
        <w:rPr>
          <w:rFonts w:ascii="仿宋_GB2312" w:eastAsia="仿宋_GB2312"/>
          <w:b w:val="false"/>
          <w:sz w:val="32"/>
          <w:szCs w:val="32"/>
        </w:rPr>
        <w:t>部门</w:t>
      </w:r>
      <w:r>
        <w:rPr>
          <w:rFonts w:ascii="仿宋_GB2312" w:eastAsia="仿宋_GB2312"/>
          <w:b w:val="false"/>
          <w:sz w:val="32"/>
          <w:szCs w:val="32"/>
        </w:rPr>
        <w:t>本年度无国有资本经营预算财政拨款收入、支出及结转和结余，国有资本经营预算财政拨款收入支出决算表为空表。</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九、财政拨款“三公”经费支出决算情况说明</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2024年度财政拨款“三公”经费支出</w:t>
      </w:r>
      <w:r>
        <w:rPr>
          <w:rFonts w:ascii="仿宋_GB2312" w:eastAsia="仿宋_GB2312"/>
          <w:b w:val="false"/>
          <w:sz w:val="32"/>
          <w:szCs w:val="32"/>
        </w:rPr>
        <w:t>84.99</w:t>
      </w:r>
      <w:r>
        <w:rPr>
          <w:rFonts w:ascii="仿宋_GB2312" w:eastAsia="仿宋_GB2312"/>
          <w:b w:val="false"/>
          <w:sz w:val="32"/>
          <w:szCs w:val="32"/>
        </w:rPr>
        <w:t>万元，</w:t>
      </w:r>
      <w:r>
        <w:rPr>
          <w:rFonts w:ascii="仿宋_GB2312" w:eastAsia="仿宋_GB2312"/>
          <w:b w:val="false"/>
          <w:sz w:val="32"/>
          <w:szCs w:val="32"/>
        </w:rPr>
        <w:t>比上年增加</w:t>
      </w:r>
      <w:r>
        <w:rPr>
          <w:rFonts w:ascii="仿宋_GB2312" w:eastAsia="仿宋_GB2312"/>
          <w:b w:val="false"/>
          <w:sz w:val="32"/>
          <w:szCs w:val="32"/>
        </w:rPr>
        <w:t>37.27</w:t>
      </w:r>
      <w:r>
        <w:rPr>
          <w:rFonts w:ascii="仿宋_GB2312" w:eastAsia="仿宋_GB2312"/>
          <w:b w:val="false"/>
          <w:sz w:val="32"/>
          <w:szCs w:val="32"/>
        </w:rPr>
        <w:t>万元，</w:t>
      </w:r>
      <w:r>
        <w:rPr>
          <w:rFonts w:ascii="仿宋_GB2312" w:eastAsia="仿宋_GB2312"/>
          <w:b w:val="false"/>
          <w:sz w:val="32"/>
          <w:szCs w:val="32"/>
        </w:rPr>
        <w:t>增长</w:t>
      </w:r>
      <w:r>
        <w:rPr>
          <w:rFonts w:ascii="仿宋_GB2312" w:eastAsia="仿宋_GB2312"/>
          <w:b w:val="false"/>
          <w:sz w:val="32"/>
          <w:szCs w:val="32"/>
        </w:rPr>
        <w:t>78.10</w:t>
      </w:r>
      <w:r>
        <w:rPr>
          <w:rFonts w:ascii="仿宋_GB2312" w:eastAsia="仿宋_GB2312"/>
          <w:b w:val="false"/>
          <w:sz w:val="32"/>
          <w:szCs w:val="32"/>
        </w:rPr>
        <w:t>%，</w:t>
      </w:r>
      <w:r>
        <w:rPr>
          <w:rFonts w:ascii="仿宋_GB2312" w:eastAsia="仿宋_GB2312"/>
          <w:b w:val="false"/>
          <w:sz w:val="32"/>
          <w:szCs w:val="32"/>
        </w:rPr>
        <w:t>主要原因是：</w:t>
      </w:r>
      <w:r>
        <w:rPr>
          <w:rFonts w:ascii="仿宋_GB2312" w:eastAsia="仿宋_GB2312"/>
          <w:b w:val="false"/>
          <w:sz w:val="32"/>
          <w:szCs w:val="32"/>
        </w:rPr>
        <w:t>一是根据工作需要，追加因公出国（境）费37.03万元；二是因公务接待批次增加，接待费用增加0.24万元</w:t>
      </w:r>
      <w:r>
        <w:rPr>
          <w:rFonts w:ascii="仿宋_GB2312" w:eastAsia="仿宋_GB2312"/>
          <w:b w:val="false"/>
          <w:sz w:val="32"/>
          <w:szCs w:val="32"/>
        </w:rPr>
        <w:t>。其中：因公出国（境）费支出</w:t>
      </w:r>
      <w:r>
        <w:rPr>
          <w:rFonts w:ascii="仿宋_GB2312" w:eastAsia="仿宋_GB2312"/>
          <w:b w:val="false"/>
          <w:sz w:val="32"/>
          <w:szCs w:val="32"/>
        </w:rPr>
        <w:t>37.03</w:t>
      </w:r>
      <w:r>
        <w:rPr>
          <w:rFonts w:ascii="仿宋_GB2312" w:eastAsia="仿宋_GB2312"/>
          <w:b w:val="false"/>
          <w:sz w:val="32"/>
          <w:szCs w:val="32"/>
        </w:rPr>
        <w:t>万元,占</w:t>
      </w:r>
      <w:r>
        <w:rPr>
          <w:rFonts w:ascii="仿宋_GB2312" w:eastAsia="仿宋_GB2312"/>
          <w:b w:val="false"/>
          <w:sz w:val="32"/>
          <w:szCs w:val="32"/>
        </w:rPr>
        <w:t>43.57</w:t>
      </w:r>
      <w:r>
        <w:rPr>
          <w:rFonts w:ascii="仿宋_GB2312" w:eastAsia="仿宋_GB2312"/>
          <w:b w:val="false"/>
          <w:sz w:val="32"/>
          <w:szCs w:val="32"/>
        </w:rPr>
        <w:t>%，</w:t>
      </w:r>
      <w:r>
        <w:rPr>
          <w:rFonts w:ascii="仿宋_GB2312" w:eastAsia="仿宋_GB2312"/>
          <w:b w:val="false"/>
          <w:sz w:val="32"/>
          <w:szCs w:val="32"/>
        </w:rPr>
        <w:t>比上年增加</w:t>
      </w:r>
      <w:r>
        <w:rPr>
          <w:rFonts w:ascii="仿宋_GB2312" w:eastAsia="仿宋_GB2312"/>
          <w:b w:val="false"/>
          <w:sz w:val="32"/>
          <w:szCs w:val="32"/>
        </w:rPr>
        <w:t>37.03</w:t>
      </w:r>
      <w:r>
        <w:rPr>
          <w:rFonts w:ascii="仿宋_GB2312" w:eastAsia="仿宋_GB2312"/>
          <w:b w:val="false"/>
          <w:sz w:val="32"/>
          <w:szCs w:val="32"/>
        </w:rPr>
        <w:t>万元，</w:t>
      </w:r>
      <w:r>
        <w:rPr>
          <w:rFonts w:ascii="仿宋_GB2312" w:eastAsia="仿宋_GB2312"/>
          <w:b w:val="false"/>
          <w:sz w:val="32"/>
          <w:szCs w:val="32"/>
        </w:rPr>
        <w:t>增长</w:t>
      </w:r>
      <w:r>
        <w:rPr>
          <w:rFonts w:ascii="仿宋_GB2312" w:eastAsia="仿宋_GB2312"/>
          <w:b w:val="false"/>
          <w:sz w:val="32"/>
          <w:szCs w:val="32"/>
        </w:rPr>
        <w:t>100%，</w:t>
      </w:r>
      <w:r>
        <w:rPr>
          <w:rFonts w:ascii="仿宋_GB2312" w:eastAsia="仿宋_GB2312"/>
          <w:b w:val="false"/>
          <w:sz w:val="32"/>
          <w:szCs w:val="32"/>
        </w:rPr>
        <w:t>主要原因是：</w:t>
      </w:r>
      <w:r>
        <w:rPr>
          <w:rFonts w:ascii="仿宋_GB2312" w:eastAsia="仿宋_GB2312"/>
          <w:b w:val="false"/>
          <w:sz w:val="32"/>
          <w:szCs w:val="32"/>
        </w:rPr>
        <w:t>根据工作需要，追加因公出国（境）费37.03万元</w:t>
      </w:r>
      <w:r>
        <w:rPr>
          <w:rFonts w:ascii="仿宋_GB2312" w:eastAsia="仿宋_GB2312"/>
          <w:b w:val="false"/>
          <w:sz w:val="32"/>
          <w:szCs w:val="32"/>
        </w:rPr>
        <w:t>；公务用车购置及运行维护费支出</w:t>
      </w:r>
      <w:r>
        <w:rPr>
          <w:rFonts w:ascii="仿宋_GB2312" w:eastAsia="仿宋_GB2312"/>
          <w:b w:val="false"/>
          <w:sz w:val="32"/>
          <w:szCs w:val="32"/>
        </w:rPr>
        <w:t>44.54</w:t>
      </w:r>
      <w:r>
        <w:rPr>
          <w:rFonts w:ascii="仿宋_GB2312" w:eastAsia="仿宋_GB2312"/>
          <w:b w:val="false"/>
          <w:sz w:val="32"/>
          <w:szCs w:val="32"/>
        </w:rPr>
        <w:t>万元，占</w:t>
      </w:r>
      <w:r>
        <w:rPr>
          <w:rFonts w:ascii="仿宋_GB2312" w:eastAsia="仿宋_GB2312"/>
          <w:b w:val="false"/>
          <w:sz w:val="32"/>
          <w:szCs w:val="32"/>
        </w:rPr>
        <w:t>52.41</w:t>
      </w:r>
      <w:r>
        <w:rPr>
          <w:rFonts w:ascii="仿宋_GB2312" w:eastAsia="仿宋_GB2312"/>
          <w:b w:val="false"/>
          <w:sz w:val="32"/>
          <w:szCs w:val="32"/>
        </w:rPr>
        <w:t>%，</w:t>
      </w:r>
      <w:r>
        <w:rPr>
          <w:rFonts w:ascii="仿宋_GB2312" w:eastAsia="仿宋_GB2312"/>
          <w:b w:val="false"/>
          <w:sz w:val="32"/>
          <w:szCs w:val="32"/>
        </w:rPr>
        <w:t>比上年增加</w:t>
      </w:r>
      <w:r>
        <w:rPr>
          <w:rFonts w:ascii="仿宋_GB2312" w:eastAsia="仿宋_GB2312"/>
          <w:b w:val="false"/>
          <w:sz w:val="32"/>
          <w:szCs w:val="32"/>
        </w:rPr>
        <w:t>0.18</w:t>
      </w:r>
      <w:r>
        <w:rPr>
          <w:rFonts w:ascii="仿宋_GB2312" w:eastAsia="仿宋_GB2312"/>
          <w:b w:val="false"/>
          <w:sz w:val="32"/>
          <w:szCs w:val="32"/>
        </w:rPr>
        <w:t>万元，</w:t>
      </w:r>
      <w:r>
        <w:rPr>
          <w:rFonts w:ascii="仿宋_GB2312" w:eastAsia="仿宋_GB2312"/>
          <w:b w:val="false"/>
          <w:sz w:val="32"/>
          <w:szCs w:val="32"/>
        </w:rPr>
        <w:t>增长</w:t>
      </w:r>
      <w:r>
        <w:rPr>
          <w:rFonts w:ascii="仿宋_GB2312" w:eastAsia="仿宋_GB2312"/>
          <w:b w:val="false"/>
          <w:sz w:val="32"/>
          <w:szCs w:val="32"/>
        </w:rPr>
        <w:t>0.41</w:t>
      </w:r>
      <w:r>
        <w:rPr>
          <w:rFonts w:ascii="仿宋_GB2312" w:eastAsia="仿宋_GB2312"/>
          <w:b w:val="false"/>
          <w:sz w:val="32"/>
          <w:szCs w:val="32"/>
        </w:rPr>
        <w:t>%，</w:t>
      </w:r>
      <w:r>
        <w:rPr>
          <w:rFonts w:ascii="仿宋_GB2312" w:eastAsia="仿宋_GB2312"/>
          <w:b w:val="false"/>
          <w:sz w:val="32"/>
          <w:szCs w:val="32"/>
        </w:rPr>
        <w:t>主要原因是：</w:t>
      </w:r>
      <w:r>
        <w:rPr>
          <w:rFonts w:ascii="仿宋_GB2312" w:eastAsia="仿宋_GB2312"/>
          <w:b w:val="false"/>
          <w:sz w:val="32"/>
          <w:szCs w:val="32"/>
        </w:rPr>
        <w:t>公务用车老旧，车辆维修费用增加，但公务用车运行及维护费未超年初预算</w:t>
      </w:r>
      <w:r>
        <w:rPr>
          <w:rFonts w:ascii="仿宋_GB2312" w:eastAsia="仿宋_GB2312"/>
          <w:b w:val="false"/>
          <w:sz w:val="32"/>
          <w:szCs w:val="32"/>
        </w:rPr>
        <w:t>；公务接待费支出</w:t>
      </w:r>
      <w:r>
        <w:rPr>
          <w:rFonts w:ascii="仿宋_GB2312" w:eastAsia="仿宋_GB2312"/>
          <w:b w:val="false"/>
          <w:sz w:val="32"/>
          <w:szCs w:val="32"/>
        </w:rPr>
        <w:t>3.42</w:t>
      </w:r>
      <w:r>
        <w:rPr>
          <w:rFonts w:ascii="仿宋_GB2312" w:eastAsia="仿宋_GB2312"/>
          <w:b w:val="false"/>
          <w:sz w:val="32"/>
          <w:szCs w:val="32"/>
        </w:rPr>
        <w:t>万元，占</w:t>
      </w:r>
      <w:r>
        <w:rPr>
          <w:rFonts w:ascii="仿宋_GB2312" w:eastAsia="仿宋_GB2312"/>
          <w:b w:val="false"/>
          <w:sz w:val="32"/>
          <w:szCs w:val="32"/>
        </w:rPr>
        <w:t>4.02</w:t>
      </w:r>
      <w:r>
        <w:rPr>
          <w:rFonts w:ascii="仿宋_GB2312" w:eastAsia="仿宋_GB2312"/>
          <w:b w:val="false"/>
          <w:sz w:val="32"/>
          <w:szCs w:val="32"/>
        </w:rPr>
        <w:t>%，</w:t>
      </w:r>
      <w:r>
        <w:rPr>
          <w:rFonts w:ascii="仿宋_GB2312" w:eastAsia="仿宋_GB2312"/>
          <w:b w:val="false"/>
          <w:sz w:val="32"/>
          <w:szCs w:val="32"/>
        </w:rPr>
        <w:t>比上年增加</w:t>
      </w:r>
      <w:r>
        <w:rPr>
          <w:rFonts w:ascii="仿宋_GB2312" w:eastAsia="仿宋_GB2312"/>
          <w:b w:val="false"/>
          <w:sz w:val="32"/>
          <w:szCs w:val="32"/>
        </w:rPr>
        <w:t>0.06</w:t>
      </w:r>
      <w:r>
        <w:rPr>
          <w:rFonts w:ascii="仿宋_GB2312" w:eastAsia="仿宋_GB2312"/>
          <w:b w:val="false"/>
          <w:sz w:val="32"/>
          <w:szCs w:val="32"/>
        </w:rPr>
        <w:t>万元，</w:t>
      </w:r>
      <w:r>
        <w:rPr>
          <w:rFonts w:ascii="仿宋_GB2312" w:eastAsia="仿宋_GB2312"/>
          <w:b w:val="false"/>
          <w:sz w:val="32"/>
          <w:szCs w:val="32"/>
        </w:rPr>
        <w:t>增长</w:t>
      </w:r>
      <w:r>
        <w:rPr>
          <w:rFonts w:ascii="仿宋_GB2312" w:eastAsia="仿宋_GB2312"/>
          <w:b w:val="false"/>
          <w:sz w:val="32"/>
          <w:szCs w:val="32"/>
        </w:rPr>
        <w:t>1.79</w:t>
      </w:r>
      <w:r>
        <w:rPr>
          <w:rFonts w:ascii="仿宋_GB2312" w:eastAsia="仿宋_GB2312"/>
          <w:b w:val="false"/>
          <w:sz w:val="32"/>
          <w:szCs w:val="32"/>
        </w:rPr>
        <w:t>%，</w:t>
      </w:r>
      <w:r>
        <w:rPr>
          <w:rFonts w:ascii="仿宋_GB2312" w:eastAsia="仿宋_GB2312"/>
          <w:b w:val="false"/>
          <w:sz w:val="32"/>
          <w:szCs w:val="32"/>
        </w:rPr>
        <w:t>主要原因是：</w:t>
      </w:r>
      <w:r>
        <w:rPr>
          <w:rFonts w:ascii="仿宋_GB2312" w:eastAsia="仿宋_GB2312"/>
          <w:b w:val="false"/>
          <w:sz w:val="32"/>
          <w:szCs w:val="32"/>
        </w:rPr>
        <w:t>兄弟单位来疆公务接待批次增加，接待费用增加但未超年初预算</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false"/>
          <w:sz w:val="32"/>
          <w:szCs w:val="32"/>
        </w:rPr>
        <w:t>具体情况如下：</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因公出国（境）费支出</w:t>
      </w:r>
      <w:r>
        <w:rPr>
          <w:rFonts w:ascii="仿宋_GB2312" w:eastAsia="仿宋_GB2312"/>
          <w:b w:val="false"/>
          <w:sz w:val="32"/>
          <w:szCs w:val="32"/>
        </w:rPr>
        <w:t>37.03</w:t>
      </w:r>
      <w:r>
        <w:rPr>
          <w:rFonts w:ascii="仿宋_GB2312" w:eastAsia="仿宋_GB2312"/>
          <w:b w:val="false"/>
          <w:sz w:val="32"/>
          <w:szCs w:val="32"/>
        </w:rPr>
        <w:t>万元，开支内容包括</w:t>
      </w:r>
      <w:r>
        <w:rPr>
          <w:rFonts w:ascii="仿宋_GB2312" w:eastAsia="仿宋_GB2312"/>
          <w:b w:val="false"/>
          <w:sz w:val="32"/>
          <w:szCs w:val="32"/>
        </w:rPr>
        <w:t>往返交通费、住宿费等</w:t>
      </w:r>
      <w:r>
        <w:rPr>
          <w:rFonts w:ascii="仿宋_GB2312" w:eastAsia="仿宋_GB2312"/>
          <w:b w:val="false"/>
          <w:sz w:val="32"/>
          <w:szCs w:val="32"/>
        </w:rPr>
        <w:t>。单位全年安排的因公出国（境）团组</w:t>
      </w:r>
      <w:r>
        <w:rPr>
          <w:rFonts w:ascii="仿宋_GB2312" w:eastAsia="仿宋_GB2312"/>
          <w:b w:val="false"/>
          <w:sz w:val="32"/>
          <w:szCs w:val="32"/>
        </w:rPr>
        <w:t>1</w:t>
      </w:r>
      <w:r>
        <w:rPr>
          <w:rFonts w:ascii="仿宋_GB2312" w:eastAsia="仿宋_GB2312"/>
          <w:b w:val="false"/>
          <w:sz w:val="32"/>
          <w:szCs w:val="32"/>
        </w:rPr>
        <w:t>个，因公出国（境）</w:t>
      </w:r>
      <w:r>
        <w:rPr>
          <w:rFonts w:ascii="仿宋_GB2312" w:eastAsia="仿宋_GB2312"/>
          <w:b w:val="false"/>
          <w:sz w:val="32"/>
          <w:szCs w:val="32"/>
        </w:rPr>
        <w:t>6</w:t>
      </w:r>
      <w:r>
        <w:rPr>
          <w:rFonts w:ascii="仿宋_GB2312" w:eastAsia="仿宋_GB2312"/>
          <w:b w:val="false"/>
          <w:sz w:val="32"/>
          <w:szCs w:val="32"/>
        </w:rPr>
        <w:t>人次。</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公务用车购置及运行维护费</w:t>
      </w:r>
      <w:r>
        <w:rPr>
          <w:rFonts w:ascii="仿宋_GB2312" w:eastAsia="仿宋_GB2312"/>
          <w:b w:val="false"/>
          <w:sz w:val="32"/>
          <w:szCs w:val="32"/>
        </w:rPr>
        <w:t>44.54</w:t>
      </w:r>
      <w:r>
        <w:rPr>
          <w:rFonts w:ascii="仿宋_GB2312" w:eastAsia="仿宋_GB2312"/>
          <w:b w:val="false"/>
          <w:sz w:val="32"/>
          <w:szCs w:val="32"/>
        </w:rPr>
        <w:t>万元，其中：公务用车购置费</w:t>
      </w:r>
      <w:r>
        <w:rPr>
          <w:rFonts w:ascii="仿宋_GB2312" w:eastAsia="仿宋_GB2312"/>
          <w:b w:val="false"/>
          <w:sz w:val="32"/>
          <w:szCs w:val="32"/>
        </w:rPr>
        <w:t>0.00</w:t>
      </w:r>
      <w:r>
        <w:rPr>
          <w:rFonts w:ascii="仿宋_GB2312" w:eastAsia="仿宋_GB2312"/>
          <w:b w:val="false"/>
          <w:sz w:val="32"/>
          <w:szCs w:val="32"/>
        </w:rPr>
        <w:t>万元，公务用车运行维护费</w:t>
      </w:r>
      <w:r>
        <w:rPr>
          <w:rFonts w:ascii="仿宋_GB2312" w:eastAsia="仿宋_GB2312"/>
          <w:b w:val="false"/>
          <w:sz w:val="32"/>
          <w:szCs w:val="32"/>
        </w:rPr>
        <w:t>44.54</w:t>
      </w:r>
      <w:r>
        <w:rPr>
          <w:rFonts w:ascii="仿宋_GB2312" w:eastAsia="仿宋_GB2312"/>
          <w:b w:val="false"/>
          <w:sz w:val="32"/>
          <w:szCs w:val="32"/>
        </w:rPr>
        <w:t>万元。公务用车运行维护费开支内容包括</w:t>
      </w:r>
      <w:r>
        <w:rPr>
          <w:rFonts w:ascii="仿宋_GB2312" w:eastAsia="仿宋_GB2312"/>
          <w:b w:val="false"/>
          <w:sz w:val="32"/>
          <w:szCs w:val="32"/>
        </w:rPr>
        <w:t>车辆燃油费、维修费、车辆保险等</w:t>
      </w:r>
      <w:r>
        <w:rPr>
          <w:rFonts w:ascii="仿宋_GB2312" w:eastAsia="仿宋_GB2312"/>
          <w:b w:val="false"/>
          <w:sz w:val="32"/>
          <w:szCs w:val="32"/>
        </w:rPr>
        <w:t>。公务用车购置数</w:t>
      </w:r>
      <w:r>
        <w:rPr>
          <w:rFonts w:ascii="仿宋_GB2312" w:eastAsia="仿宋_GB2312"/>
          <w:b w:val="false"/>
          <w:sz w:val="32"/>
          <w:szCs w:val="32"/>
        </w:rPr>
        <w:t>0</w:t>
      </w:r>
      <w:r>
        <w:rPr>
          <w:rFonts w:ascii="仿宋_GB2312" w:eastAsia="仿宋_GB2312"/>
          <w:b w:val="false"/>
          <w:sz w:val="32"/>
          <w:szCs w:val="32"/>
        </w:rPr>
        <w:t>辆，公务用车保有量</w:t>
      </w:r>
      <w:r>
        <w:rPr>
          <w:rFonts w:ascii="仿宋_GB2312" w:eastAsia="仿宋_GB2312"/>
          <w:b w:val="false"/>
          <w:sz w:val="32"/>
          <w:szCs w:val="32"/>
        </w:rPr>
        <w:t>17</w:t>
      </w:r>
      <w:r>
        <w:rPr>
          <w:rFonts w:ascii="仿宋_GB2312" w:eastAsia="仿宋_GB2312"/>
          <w:b w:val="false"/>
          <w:sz w:val="32"/>
          <w:szCs w:val="32"/>
        </w:rPr>
        <w:t>辆。国有资产占用情况中固定资产车辆</w:t>
      </w:r>
      <w:r>
        <w:rPr>
          <w:rFonts w:ascii="仿宋_GB2312" w:eastAsia="仿宋_GB2312"/>
          <w:b w:val="false"/>
          <w:sz w:val="32"/>
          <w:szCs w:val="32"/>
        </w:rPr>
        <w:t>17</w:t>
      </w:r>
      <w:r>
        <w:rPr>
          <w:rFonts w:ascii="仿宋_GB2312" w:eastAsia="仿宋_GB2312"/>
          <w:b w:val="false"/>
          <w:sz w:val="32"/>
          <w:szCs w:val="32"/>
        </w:rPr>
        <w:t>辆，与公务用车保有量差异原因是：</w:t>
      </w:r>
      <w:r>
        <w:rPr>
          <w:rFonts w:ascii="仿宋_GB2312" w:eastAsia="仿宋_GB2312"/>
          <w:b w:val="false"/>
          <w:sz w:val="32"/>
          <w:szCs w:val="32"/>
        </w:rPr>
        <w:t>无差异</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公务接待费</w:t>
      </w:r>
      <w:r>
        <w:rPr>
          <w:rFonts w:ascii="仿宋_GB2312" w:eastAsia="仿宋_GB2312"/>
          <w:b w:val="false"/>
          <w:sz w:val="32"/>
          <w:szCs w:val="32"/>
        </w:rPr>
        <w:t>3.42</w:t>
      </w:r>
      <w:r>
        <w:rPr>
          <w:rFonts w:ascii="仿宋_GB2312" w:eastAsia="仿宋_GB2312"/>
          <w:b w:val="false"/>
          <w:sz w:val="32"/>
          <w:szCs w:val="32"/>
        </w:rPr>
        <w:t>万元，开支内容包括</w:t>
      </w:r>
      <w:r>
        <w:rPr>
          <w:rFonts w:ascii="仿宋_GB2312" w:eastAsia="仿宋_GB2312"/>
          <w:b w:val="false"/>
          <w:sz w:val="32"/>
          <w:szCs w:val="32"/>
        </w:rPr>
        <w:t>接待兄弟单位来疆调研</w:t>
      </w:r>
      <w:r>
        <w:rPr>
          <w:rFonts w:ascii="仿宋_GB2312" w:eastAsia="仿宋_GB2312"/>
          <w:b w:val="false"/>
          <w:sz w:val="32"/>
          <w:szCs w:val="32"/>
        </w:rPr>
        <w:t>。单位全年安排的国内公务接待</w:t>
      </w:r>
      <w:r>
        <w:rPr>
          <w:rFonts w:ascii="仿宋_GB2312" w:eastAsia="仿宋_GB2312"/>
          <w:b w:val="false"/>
          <w:sz w:val="32"/>
          <w:szCs w:val="32"/>
        </w:rPr>
        <w:t>26</w:t>
      </w:r>
      <w:r>
        <w:rPr>
          <w:rFonts w:ascii="仿宋_GB2312" w:eastAsia="仿宋_GB2312"/>
          <w:b w:val="false"/>
          <w:sz w:val="32"/>
          <w:szCs w:val="32"/>
        </w:rPr>
        <w:t>批次，</w:t>
      </w:r>
      <w:r>
        <w:rPr>
          <w:rFonts w:ascii="仿宋_GB2312" w:eastAsia="仿宋_GB2312"/>
          <w:b w:val="false"/>
          <w:sz w:val="32"/>
          <w:szCs w:val="32"/>
        </w:rPr>
        <w:t>219</w:t>
      </w:r>
      <w:r>
        <w:rPr>
          <w:rFonts w:ascii="仿宋_GB2312" w:eastAsia="仿宋_GB2312"/>
          <w:b w:val="false"/>
          <w:sz w:val="32"/>
          <w:szCs w:val="32"/>
        </w:rPr>
        <w:t>人次。</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与全年预算相比，财政拨款“三公”经费支出全年预算数</w:t>
      </w:r>
      <w:r>
        <w:rPr>
          <w:rFonts w:ascii="仿宋_GB2312" w:eastAsia="仿宋_GB2312"/>
          <w:b w:val="false"/>
          <w:sz w:val="32"/>
          <w:szCs w:val="32"/>
        </w:rPr>
        <w:t>84.99</w:t>
      </w:r>
      <w:r>
        <w:rPr>
          <w:rFonts w:ascii="仿宋_GB2312" w:eastAsia="仿宋_GB2312"/>
          <w:b w:val="false"/>
          <w:sz w:val="32"/>
          <w:szCs w:val="32"/>
        </w:rPr>
        <w:t>万元，决算数</w:t>
      </w:r>
      <w:r>
        <w:rPr>
          <w:rFonts w:ascii="仿宋_GB2312" w:eastAsia="仿宋_GB2312"/>
          <w:b w:val="false"/>
          <w:sz w:val="32"/>
          <w:szCs w:val="32"/>
        </w:rPr>
        <w:t>84.99</w:t>
      </w:r>
      <w:r>
        <w:rPr>
          <w:rFonts w:ascii="仿宋_GB2312" w:eastAsia="仿宋_GB2312"/>
          <w:b w:val="false"/>
          <w:sz w:val="32"/>
          <w:szCs w:val="32"/>
        </w:rPr>
        <w:t>万元，预决算差异率</w:t>
      </w:r>
      <w:r>
        <w:rPr>
          <w:rFonts w:ascii="仿宋_GB2312" w:eastAsia="仿宋_GB2312"/>
          <w:b w:val="false"/>
          <w:sz w:val="32"/>
          <w:szCs w:val="32"/>
        </w:rPr>
        <w:t>0.00</w:t>
      </w:r>
      <w:r>
        <w:rPr>
          <w:rFonts w:ascii="仿宋_GB2312" w:eastAsia="仿宋_GB2312"/>
          <w:b w:val="false"/>
          <w:sz w:val="32"/>
          <w:szCs w:val="32"/>
        </w:rPr>
        <w:t>%，主要原因是：</w:t>
      </w:r>
      <w:r>
        <w:rPr>
          <w:rFonts w:ascii="仿宋_GB2312" w:eastAsia="仿宋_GB2312"/>
          <w:b w:val="false"/>
          <w:sz w:val="32"/>
          <w:szCs w:val="32"/>
        </w:rPr>
        <w:t>“三公”经费在预算范围内列支</w:t>
      </w:r>
      <w:r>
        <w:rPr>
          <w:rFonts w:ascii="仿宋_GB2312" w:eastAsia="仿宋_GB2312"/>
          <w:b w:val="false"/>
          <w:sz w:val="32"/>
          <w:szCs w:val="32"/>
        </w:rPr>
        <w:t>。其中：因公出国（境）费全年预算数</w:t>
      </w:r>
      <w:r>
        <w:rPr>
          <w:rFonts w:ascii="仿宋_GB2312" w:eastAsia="仿宋_GB2312"/>
          <w:b w:val="false"/>
          <w:sz w:val="32"/>
          <w:szCs w:val="32"/>
        </w:rPr>
        <w:t>37.03</w:t>
      </w:r>
      <w:r>
        <w:rPr>
          <w:rFonts w:ascii="仿宋_GB2312" w:eastAsia="仿宋_GB2312"/>
          <w:b w:val="false"/>
          <w:sz w:val="32"/>
          <w:szCs w:val="32"/>
        </w:rPr>
        <w:t>万元，决算数</w:t>
      </w:r>
      <w:r>
        <w:rPr>
          <w:rFonts w:ascii="仿宋_GB2312" w:eastAsia="仿宋_GB2312"/>
          <w:b w:val="false"/>
          <w:sz w:val="32"/>
          <w:szCs w:val="32"/>
        </w:rPr>
        <w:t>37.03</w:t>
      </w:r>
      <w:r>
        <w:rPr>
          <w:rFonts w:ascii="仿宋_GB2312" w:eastAsia="仿宋_GB2312"/>
          <w:b w:val="false"/>
          <w:sz w:val="32"/>
          <w:szCs w:val="32"/>
        </w:rPr>
        <w:t>万元，预决算差异率</w:t>
      </w:r>
      <w:r>
        <w:rPr>
          <w:rFonts w:ascii="仿宋_GB2312" w:eastAsia="仿宋_GB2312"/>
          <w:b w:val="false"/>
          <w:sz w:val="32"/>
          <w:szCs w:val="32"/>
        </w:rPr>
        <w:t>0.00</w:t>
      </w:r>
      <w:r>
        <w:rPr>
          <w:rFonts w:ascii="仿宋_GB2312" w:eastAsia="仿宋_GB2312"/>
          <w:b w:val="false"/>
          <w:sz w:val="32"/>
          <w:szCs w:val="32"/>
        </w:rPr>
        <w:t>%，主要原因是：</w:t>
      </w:r>
      <w:r>
        <w:rPr>
          <w:rFonts w:ascii="仿宋_GB2312" w:eastAsia="仿宋_GB2312"/>
          <w:b w:val="false"/>
          <w:sz w:val="32"/>
          <w:szCs w:val="32"/>
        </w:rPr>
        <w:t>因公出国（境）费在预算范围内列支</w:t>
      </w:r>
      <w:r>
        <w:rPr>
          <w:rFonts w:ascii="仿宋_GB2312" w:eastAsia="仿宋_GB2312"/>
          <w:b w:val="false"/>
          <w:sz w:val="32"/>
          <w:szCs w:val="32"/>
        </w:rPr>
        <w:t>；公务用车购置费全年预算数</w:t>
      </w:r>
      <w:r>
        <w:rPr>
          <w:rFonts w:ascii="仿宋_GB2312" w:eastAsia="仿宋_GB2312"/>
          <w:b w:val="false"/>
          <w:sz w:val="32"/>
          <w:szCs w:val="32"/>
        </w:rPr>
        <w:t>0.00</w:t>
      </w:r>
      <w:r>
        <w:rPr>
          <w:rFonts w:ascii="仿宋_GB2312" w:eastAsia="仿宋_GB2312"/>
          <w:b w:val="false"/>
          <w:sz w:val="32"/>
          <w:szCs w:val="32"/>
        </w:rPr>
        <w:t>万元，决算数</w:t>
      </w:r>
      <w:r>
        <w:rPr>
          <w:rFonts w:ascii="仿宋_GB2312" w:eastAsia="仿宋_GB2312"/>
          <w:b w:val="false"/>
          <w:sz w:val="32"/>
          <w:szCs w:val="32"/>
        </w:rPr>
        <w:t>0.00</w:t>
      </w:r>
      <w:r>
        <w:rPr>
          <w:rFonts w:ascii="仿宋_GB2312" w:eastAsia="仿宋_GB2312"/>
          <w:b w:val="false"/>
          <w:sz w:val="32"/>
          <w:szCs w:val="32"/>
        </w:rPr>
        <w:t>万元，预决算差异率</w:t>
      </w:r>
      <w:r>
        <w:rPr>
          <w:rFonts w:ascii="仿宋_GB2312" w:eastAsia="仿宋_GB2312"/>
          <w:b w:val="false"/>
          <w:sz w:val="32"/>
          <w:szCs w:val="32"/>
        </w:rPr>
        <w:t>0.00</w:t>
      </w:r>
      <w:r>
        <w:rPr>
          <w:rFonts w:ascii="仿宋_GB2312" w:eastAsia="仿宋_GB2312"/>
          <w:b w:val="false"/>
          <w:sz w:val="32"/>
          <w:szCs w:val="32"/>
        </w:rPr>
        <w:t>%，主要原因是：</w:t>
      </w:r>
      <w:r>
        <w:rPr>
          <w:rFonts w:ascii="仿宋_GB2312" w:eastAsia="仿宋_GB2312"/>
          <w:b w:val="false"/>
          <w:sz w:val="32"/>
          <w:szCs w:val="32"/>
        </w:rPr>
        <w:t>我单位无公务用车购置费</w:t>
      </w:r>
      <w:r>
        <w:rPr>
          <w:rFonts w:ascii="仿宋_GB2312" w:eastAsia="仿宋_GB2312"/>
          <w:b w:val="false"/>
          <w:sz w:val="32"/>
          <w:szCs w:val="32"/>
        </w:rPr>
        <w:t>；公务用车运行维护费全年预算数</w:t>
      </w:r>
      <w:r>
        <w:rPr>
          <w:rFonts w:ascii="仿宋_GB2312" w:eastAsia="仿宋_GB2312"/>
          <w:b w:val="false"/>
          <w:sz w:val="32"/>
          <w:szCs w:val="32"/>
        </w:rPr>
        <w:t>44.54</w:t>
      </w:r>
      <w:r>
        <w:rPr>
          <w:rFonts w:ascii="仿宋_GB2312" w:eastAsia="仿宋_GB2312"/>
          <w:b w:val="false"/>
          <w:sz w:val="32"/>
          <w:szCs w:val="32"/>
        </w:rPr>
        <w:t>万元，决算数</w:t>
      </w:r>
      <w:r>
        <w:rPr>
          <w:rFonts w:ascii="仿宋_GB2312" w:eastAsia="仿宋_GB2312"/>
          <w:b w:val="false"/>
          <w:sz w:val="32"/>
          <w:szCs w:val="32"/>
        </w:rPr>
        <w:t>44.54</w:t>
      </w:r>
      <w:r>
        <w:rPr>
          <w:rFonts w:ascii="仿宋_GB2312" w:eastAsia="仿宋_GB2312"/>
          <w:b w:val="false"/>
          <w:sz w:val="32"/>
          <w:szCs w:val="32"/>
        </w:rPr>
        <w:t>万元，预决算差异率</w:t>
      </w:r>
      <w:r>
        <w:rPr>
          <w:rFonts w:ascii="仿宋_GB2312" w:eastAsia="仿宋_GB2312"/>
          <w:b w:val="false"/>
          <w:sz w:val="32"/>
          <w:szCs w:val="32"/>
        </w:rPr>
        <w:t>0.00</w:t>
      </w:r>
      <w:r>
        <w:rPr>
          <w:rFonts w:ascii="仿宋_GB2312" w:eastAsia="仿宋_GB2312"/>
          <w:b w:val="false"/>
          <w:sz w:val="32"/>
          <w:szCs w:val="32"/>
        </w:rPr>
        <w:t>%，主要原因是：</w:t>
      </w:r>
      <w:r>
        <w:rPr>
          <w:rFonts w:ascii="仿宋_GB2312" w:eastAsia="仿宋_GB2312"/>
          <w:b w:val="false"/>
          <w:sz w:val="32"/>
          <w:szCs w:val="32"/>
        </w:rPr>
        <w:t>公务用车运行维护费在预算范围内列支</w:t>
      </w:r>
      <w:r>
        <w:rPr>
          <w:rFonts w:ascii="仿宋_GB2312" w:eastAsia="仿宋_GB2312"/>
          <w:b w:val="false"/>
          <w:sz w:val="32"/>
          <w:szCs w:val="32"/>
        </w:rPr>
        <w:t>；公务接待费全年预算数</w:t>
      </w:r>
      <w:r>
        <w:rPr>
          <w:rFonts w:ascii="仿宋_GB2312" w:eastAsia="仿宋_GB2312"/>
          <w:b w:val="false"/>
          <w:sz w:val="32"/>
          <w:szCs w:val="32"/>
        </w:rPr>
        <w:t>3.42</w:t>
      </w:r>
      <w:r>
        <w:rPr>
          <w:rFonts w:ascii="仿宋_GB2312" w:eastAsia="仿宋_GB2312"/>
          <w:b w:val="false"/>
          <w:sz w:val="32"/>
          <w:szCs w:val="32"/>
        </w:rPr>
        <w:t>万元，决算数</w:t>
      </w:r>
      <w:r>
        <w:rPr>
          <w:rFonts w:ascii="仿宋_GB2312" w:eastAsia="仿宋_GB2312"/>
          <w:b w:val="false"/>
          <w:sz w:val="32"/>
          <w:szCs w:val="32"/>
        </w:rPr>
        <w:t>3.42</w:t>
      </w:r>
      <w:r>
        <w:rPr>
          <w:rFonts w:ascii="仿宋_GB2312" w:eastAsia="仿宋_GB2312"/>
          <w:b w:val="false"/>
          <w:sz w:val="32"/>
          <w:szCs w:val="32"/>
        </w:rPr>
        <w:t>万元，预决算差异率</w:t>
      </w:r>
      <w:r>
        <w:rPr>
          <w:rFonts w:ascii="仿宋_GB2312" w:eastAsia="仿宋_GB2312"/>
          <w:b w:val="false"/>
          <w:sz w:val="32"/>
          <w:szCs w:val="32"/>
        </w:rPr>
        <w:t>0.00</w:t>
      </w:r>
      <w:r>
        <w:rPr>
          <w:rFonts w:ascii="仿宋_GB2312" w:eastAsia="仿宋_GB2312"/>
          <w:b w:val="false"/>
          <w:sz w:val="32"/>
          <w:szCs w:val="32"/>
        </w:rPr>
        <w:t>%，主要原因是：</w:t>
      </w:r>
      <w:r>
        <w:rPr>
          <w:rFonts w:ascii="仿宋_GB2312" w:eastAsia="仿宋_GB2312"/>
          <w:b w:val="false"/>
          <w:sz w:val="32"/>
          <w:szCs w:val="32"/>
        </w:rPr>
        <w:t>公务接待费在预算范围内列支</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十、其他重要事项的情况说明</w:t>
      </w:r>
    </w:p>
    <w:p>
      <w:pPr>
        <w:widowControl w:val="true"/>
        <w:spacing w:before="0" w:beforeLines="0" w:beforeAutospacing="false" w:after="0" w:afterLines="0" w:afterAutospacing="false" w:line="240" w:lineRule="auto"/>
        <w:ind w:firstLine="200" w:firstLineChars="200"/>
        <w:jc w:val="left"/>
        <w:outlineLvl w:val="2"/>
        <w:rPr>
          <w:rFonts w:ascii="黑体" w:eastAsia="黑体"/>
          <w:sz w:val="32"/>
          <w:szCs w:val="32"/>
        </w:rPr>
      </w:pPr>
      <w:r>
        <w:rPr>
          <w:rFonts w:ascii="黑体" w:eastAsia="黑体"/>
          <w:b w:val="false"/>
          <w:sz w:val="32"/>
          <w:szCs w:val="32"/>
        </w:rPr>
        <w:t>（一）机关运行经费及公用经费支出情况</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2024年度</w:t>
      </w:r>
      <w:r>
        <w:rPr>
          <w:rFonts w:ascii="仿宋_GB2312" w:eastAsia="仿宋_GB2312"/>
          <w:b w:val="false"/>
          <w:sz w:val="32"/>
          <w:szCs w:val="32"/>
        </w:rPr>
        <w:t>新疆维吾尔自治区民族事务委员会（宗教事务局）</w:t>
      </w:r>
      <w:r>
        <w:rPr>
          <w:rFonts w:ascii="仿宋_GB2312" w:eastAsia="仿宋_GB2312"/>
          <w:b w:val="false"/>
          <w:sz w:val="32"/>
          <w:szCs w:val="32"/>
        </w:rPr>
        <w:t>部门</w:t>
      </w:r>
      <w:r>
        <w:rPr>
          <w:rFonts w:ascii="仿宋_GB2312" w:eastAsia="仿宋_GB2312"/>
          <w:b w:val="false"/>
          <w:sz w:val="32"/>
          <w:szCs w:val="32"/>
        </w:rPr>
        <w:t>（行政单位和参照公务员法管理事业单位）机关运行经费支出</w:t>
      </w:r>
      <w:r>
        <w:rPr>
          <w:rFonts w:ascii="仿宋_GB2312" w:eastAsia="仿宋_GB2312"/>
          <w:b w:val="false"/>
          <w:sz w:val="32"/>
          <w:szCs w:val="32"/>
        </w:rPr>
        <w:t>307.61</w:t>
      </w:r>
      <w:r>
        <w:rPr>
          <w:rFonts w:ascii="仿宋_GB2312" w:eastAsia="仿宋_GB2312"/>
          <w:b w:val="false"/>
          <w:sz w:val="32"/>
          <w:szCs w:val="32"/>
        </w:rPr>
        <w:t>万元，</w:t>
      </w:r>
      <w:r>
        <w:rPr>
          <w:rFonts w:ascii="仿宋_GB2312" w:eastAsia="仿宋_GB2312"/>
          <w:b w:val="false"/>
          <w:sz w:val="32"/>
          <w:szCs w:val="32"/>
        </w:rPr>
        <w:t>比上年减少</w:t>
      </w:r>
      <w:r>
        <w:rPr>
          <w:rFonts w:ascii="仿宋_GB2312" w:eastAsia="仿宋_GB2312"/>
          <w:b w:val="false"/>
          <w:sz w:val="32"/>
          <w:szCs w:val="32"/>
        </w:rPr>
        <w:t>66.52</w:t>
      </w:r>
      <w:r>
        <w:rPr>
          <w:rFonts w:ascii="仿宋_GB2312" w:eastAsia="仿宋_GB2312"/>
          <w:b w:val="false"/>
          <w:sz w:val="32"/>
          <w:szCs w:val="32"/>
        </w:rPr>
        <w:t>万元，</w:t>
      </w:r>
      <w:r>
        <w:rPr>
          <w:rFonts w:ascii="仿宋_GB2312" w:eastAsia="仿宋_GB2312"/>
          <w:b w:val="false"/>
          <w:sz w:val="32"/>
          <w:szCs w:val="32"/>
        </w:rPr>
        <w:t>下降</w:t>
      </w:r>
      <w:r>
        <w:rPr>
          <w:rFonts w:ascii="仿宋_GB2312" w:eastAsia="仿宋_GB2312"/>
          <w:b w:val="false"/>
          <w:sz w:val="32"/>
          <w:szCs w:val="32"/>
        </w:rPr>
        <w:t>17.78</w:t>
      </w:r>
      <w:r>
        <w:rPr>
          <w:rFonts w:ascii="仿宋_GB2312" w:eastAsia="仿宋_GB2312"/>
          <w:b w:val="false"/>
          <w:sz w:val="32"/>
          <w:szCs w:val="32"/>
        </w:rPr>
        <w:t>%，</w:t>
      </w:r>
      <w:r>
        <w:rPr>
          <w:rFonts w:ascii="仿宋_GB2312" w:eastAsia="仿宋_GB2312"/>
          <w:b w:val="false"/>
          <w:sz w:val="32"/>
          <w:szCs w:val="32"/>
        </w:rPr>
        <w:t>主要原因是：</w:t>
      </w:r>
      <w:r>
        <w:rPr>
          <w:rFonts w:ascii="仿宋_GB2312" w:eastAsia="仿宋_GB2312"/>
          <w:b w:val="false"/>
          <w:sz w:val="32"/>
          <w:szCs w:val="32"/>
        </w:rPr>
        <w:t>因机构改革，本年人员较上年大幅减少，机关运行经费减少</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2024年度</w:t>
      </w:r>
      <w:r>
        <w:rPr>
          <w:rFonts w:ascii="仿宋_GB2312" w:eastAsia="仿宋_GB2312"/>
          <w:b w:val="false"/>
          <w:sz w:val="32"/>
          <w:szCs w:val="32"/>
        </w:rPr>
        <w:t>新疆维吾尔自治区民族事务委员会（宗教事务局）</w:t>
      </w:r>
      <w:r>
        <w:rPr>
          <w:rFonts w:ascii="仿宋_GB2312" w:eastAsia="仿宋_GB2312"/>
          <w:b w:val="false"/>
          <w:sz w:val="32"/>
          <w:szCs w:val="32"/>
        </w:rPr>
        <w:t>部门</w:t>
      </w:r>
      <w:r>
        <w:rPr>
          <w:rFonts w:ascii="仿宋_GB2312" w:eastAsia="仿宋_GB2312"/>
          <w:b w:val="false"/>
          <w:sz w:val="32"/>
          <w:szCs w:val="32"/>
        </w:rPr>
        <w:t>​（事业单位）公用经费支出</w:t>
      </w:r>
      <w:r>
        <w:rPr>
          <w:rFonts w:ascii="仿宋_GB2312" w:eastAsia="仿宋_GB2312"/>
          <w:b w:val="false"/>
          <w:sz w:val="32"/>
          <w:szCs w:val="32"/>
        </w:rPr>
        <w:t>80.50</w:t>
      </w:r>
      <w:r>
        <w:rPr>
          <w:rFonts w:ascii="仿宋_GB2312" w:eastAsia="仿宋_GB2312"/>
          <w:b w:val="false"/>
          <w:sz w:val="32"/>
          <w:szCs w:val="32"/>
        </w:rPr>
        <w:t>万元，</w:t>
      </w:r>
      <w:r>
        <w:rPr>
          <w:rFonts w:ascii="仿宋_GB2312" w:eastAsia="仿宋_GB2312"/>
          <w:b w:val="false"/>
          <w:sz w:val="32"/>
          <w:szCs w:val="32"/>
        </w:rPr>
        <w:t>比上年增加</w:t>
      </w:r>
      <w:r>
        <w:rPr>
          <w:rFonts w:ascii="仿宋_GB2312" w:eastAsia="仿宋_GB2312"/>
          <w:b w:val="false"/>
          <w:sz w:val="32"/>
          <w:szCs w:val="32"/>
        </w:rPr>
        <w:t>6.77</w:t>
      </w:r>
      <w:r>
        <w:rPr>
          <w:rFonts w:ascii="仿宋_GB2312" w:eastAsia="仿宋_GB2312"/>
          <w:b w:val="false"/>
          <w:sz w:val="32"/>
          <w:szCs w:val="32"/>
        </w:rPr>
        <w:t>万元，</w:t>
      </w:r>
      <w:r>
        <w:rPr>
          <w:rFonts w:ascii="仿宋_GB2312" w:eastAsia="仿宋_GB2312"/>
          <w:b w:val="false"/>
          <w:sz w:val="32"/>
          <w:szCs w:val="32"/>
        </w:rPr>
        <w:t>增长</w:t>
      </w:r>
      <w:r>
        <w:rPr>
          <w:rFonts w:ascii="仿宋_GB2312" w:eastAsia="仿宋_GB2312"/>
          <w:b w:val="false"/>
          <w:sz w:val="32"/>
          <w:szCs w:val="32"/>
        </w:rPr>
        <w:t>9.18</w:t>
      </w:r>
      <w:r>
        <w:rPr>
          <w:rFonts w:ascii="仿宋_GB2312" w:eastAsia="仿宋_GB2312"/>
          <w:b w:val="false"/>
          <w:sz w:val="32"/>
          <w:szCs w:val="32"/>
        </w:rPr>
        <w:t>%，</w:t>
      </w:r>
      <w:r>
        <w:rPr>
          <w:rFonts w:ascii="仿宋_GB2312" w:eastAsia="仿宋_GB2312"/>
          <w:b w:val="false"/>
          <w:sz w:val="32"/>
          <w:szCs w:val="32"/>
        </w:rPr>
        <w:t>主要原因是：</w:t>
      </w:r>
      <w:r>
        <w:rPr>
          <w:rFonts w:ascii="仿宋_GB2312" w:eastAsia="仿宋_GB2312"/>
          <w:b w:val="false"/>
          <w:sz w:val="32"/>
          <w:szCs w:val="32"/>
        </w:rPr>
        <w:t>事业单位承担的服务任务增加，导致办公用品、水电费、差旅费等日常运营成本增加</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2"/>
        <w:rPr>
          <w:rFonts w:ascii="黑体" w:eastAsia="黑体"/>
          <w:sz w:val="32"/>
          <w:szCs w:val="32"/>
        </w:rPr>
      </w:pPr>
      <w:r>
        <w:rPr>
          <w:rFonts w:ascii="黑体" w:eastAsia="黑体"/>
          <w:b w:val="false"/>
          <w:sz w:val="32"/>
          <w:szCs w:val="32"/>
        </w:rPr>
        <w:t>（二）政府采购情况</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2024年度政府采购支出总额</w:t>
      </w:r>
      <w:r>
        <w:rPr>
          <w:rFonts w:ascii="仿宋_GB2312" w:eastAsia="仿宋_GB2312"/>
          <w:b w:val="false"/>
          <w:sz w:val="32"/>
          <w:szCs w:val="32"/>
        </w:rPr>
        <w:t>197.35</w:t>
      </w:r>
      <w:r>
        <w:rPr>
          <w:rFonts w:ascii="仿宋_GB2312" w:eastAsia="仿宋_GB2312"/>
          <w:b w:val="false"/>
          <w:sz w:val="32"/>
          <w:szCs w:val="32"/>
        </w:rPr>
        <w:t>万元，其中：政府采购货物支出</w:t>
      </w:r>
      <w:r>
        <w:rPr>
          <w:rFonts w:ascii="仿宋_GB2312" w:eastAsia="仿宋_GB2312"/>
          <w:b w:val="false"/>
          <w:sz w:val="32"/>
          <w:szCs w:val="32"/>
        </w:rPr>
        <w:t>29.65</w:t>
      </w:r>
      <w:r>
        <w:rPr>
          <w:rFonts w:ascii="仿宋_GB2312" w:eastAsia="仿宋_GB2312"/>
          <w:b w:val="false"/>
          <w:sz w:val="32"/>
          <w:szCs w:val="32"/>
        </w:rPr>
        <w:t>万元、政府采购工程支出</w:t>
      </w:r>
      <w:r>
        <w:rPr>
          <w:rFonts w:ascii="仿宋_GB2312" w:eastAsia="仿宋_GB2312"/>
          <w:b w:val="false"/>
          <w:sz w:val="32"/>
          <w:szCs w:val="32"/>
        </w:rPr>
        <w:t>0.00</w:t>
      </w:r>
      <w:r>
        <w:rPr>
          <w:rFonts w:ascii="仿宋_GB2312" w:eastAsia="仿宋_GB2312"/>
          <w:b w:val="false"/>
          <w:sz w:val="32"/>
          <w:szCs w:val="32"/>
        </w:rPr>
        <w:t>万元、政府采购服务支出</w:t>
      </w:r>
      <w:r>
        <w:rPr>
          <w:rFonts w:ascii="仿宋_GB2312" w:eastAsia="仿宋_GB2312"/>
          <w:b w:val="false"/>
          <w:sz w:val="32"/>
          <w:szCs w:val="32"/>
        </w:rPr>
        <w:t>167.70</w:t>
      </w:r>
      <w:r>
        <w:rPr>
          <w:rFonts w:ascii="仿宋_GB2312" w:eastAsia="仿宋_GB2312"/>
          <w:b w:val="false"/>
          <w:sz w:val="32"/>
          <w:szCs w:val="32"/>
        </w:rPr>
        <w:t>万元。</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授予中小企业合同金额</w:t>
      </w:r>
      <w:r>
        <w:rPr>
          <w:rFonts w:ascii="仿宋_GB2312" w:eastAsia="仿宋_GB2312"/>
          <w:b w:val="false"/>
          <w:sz w:val="32"/>
          <w:szCs w:val="32"/>
        </w:rPr>
        <w:t>184.87</w:t>
      </w:r>
      <w:r>
        <w:rPr>
          <w:rFonts w:ascii="仿宋_GB2312" w:eastAsia="仿宋_GB2312"/>
          <w:b w:val="false"/>
          <w:sz w:val="32"/>
          <w:szCs w:val="32"/>
        </w:rPr>
        <w:t>万元，占政府采购支出总额的</w:t>
      </w:r>
      <w:r>
        <w:rPr>
          <w:rFonts w:ascii="仿宋_GB2312" w:eastAsia="仿宋_GB2312"/>
          <w:b w:val="false"/>
          <w:sz w:val="32"/>
          <w:szCs w:val="32"/>
        </w:rPr>
        <w:t>93.68</w:t>
      </w:r>
      <w:r>
        <w:rPr>
          <w:rFonts w:ascii="仿宋_GB2312" w:eastAsia="仿宋_GB2312"/>
          <w:b w:val="false"/>
          <w:sz w:val="32"/>
          <w:szCs w:val="32"/>
        </w:rPr>
        <w:t>%，其中：授予小微企业合同金额</w:t>
      </w:r>
      <w:r>
        <w:rPr>
          <w:rFonts w:ascii="仿宋_GB2312" w:eastAsia="仿宋_GB2312"/>
          <w:b w:val="false"/>
          <w:sz w:val="32"/>
          <w:szCs w:val="32"/>
        </w:rPr>
        <w:t>148.34</w:t>
      </w:r>
      <w:r>
        <w:rPr>
          <w:rFonts w:ascii="仿宋_GB2312" w:eastAsia="仿宋_GB2312"/>
          <w:b w:val="false"/>
          <w:sz w:val="32"/>
          <w:szCs w:val="32"/>
        </w:rPr>
        <w:t>万元，占政府采购支出总额的</w:t>
      </w:r>
      <w:r>
        <w:rPr>
          <w:rFonts w:ascii="仿宋_GB2312" w:eastAsia="仿宋_GB2312"/>
          <w:b w:val="false"/>
          <w:sz w:val="32"/>
          <w:szCs w:val="32"/>
        </w:rPr>
        <w:t>75.17</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2"/>
        <w:rPr>
          <w:rFonts w:ascii="黑体" w:eastAsia="黑体"/>
          <w:sz w:val="32"/>
          <w:szCs w:val="32"/>
        </w:rPr>
      </w:pPr>
      <w:r>
        <w:rPr>
          <w:rFonts w:ascii="黑体" w:eastAsia="黑体"/>
          <w:b w:val="false"/>
          <w:sz w:val="32"/>
          <w:szCs w:val="32"/>
        </w:rPr>
        <w:t>（三）国有资产占用情况说明</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截至2024年12月31日，房屋</w:t>
      </w:r>
      <w:r>
        <w:rPr>
          <w:rFonts w:ascii="仿宋_GB2312" w:eastAsia="仿宋_GB2312"/>
          <w:b w:val="false"/>
          <w:sz w:val="32"/>
          <w:szCs w:val="32"/>
        </w:rPr>
        <w:t>19,065.00</w:t>
      </w:r>
      <w:r>
        <w:rPr>
          <w:rFonts w:ascii="仿宋_GB2312" w:eastAsia="仿宋_GB2312"/>
          <w:b w:val="false"/>
          <w:sz w:val="32"/>
          <w:szCs w:val="32"/>
        </w:rPr>
        <w:t>平方米，价值</w:t>
      </w:r>
      <w:r>
        <w:rPr>
          <w:rFonts w:ascii="仿宋_GB2312" w:eastAsia="仿宋_GB2312"/>
          <w:b w:val="false"/>
          <w:sz w:val="32"/>
          <w:szCs w:val="32"/>
        </w:rPr>
        <w:t>6,682.89</w:t>
      </w:r>
      <w:r>
        <w:rPr>
          <w:rFonts w:ascii="仿宋_GB2312" w:eastAsia="仿宋_GB2312"/>
          <w:b w:val="false"/>
          <w:sz w:val="32"/>
          <w:szCs w:val="32"/>
        </w:rPr>
        <w:t>万元。车辆</w:t>
      </w:r>
      <w:r>
        <w:rPr>
          <w:rFonts w:ascii="仿宋_GB2312" w:eastAsia="仿宋_GB2312"/>
          <w:b w:val="false"/>
          <w:sz w:val="32"/>
          <w:szCs w:val="32"/>
        </w:rPr>
        <w:t>17</w:t>
      </w:r>
      <w:r>
        <w:rPr>
          <w:rFonts w:ascii="仿宋_GB2312" w:eastAsia="仿宋_GB2312"/>
          <w:b w:val="false"/>
          <w:sz w:val="32"/>
          <w:szCs w:val="32"/>
        </w:rPr>
        <w:t>辆，价值</w:t>
      </w:r>
      <w:r>
        <w:rPr>
          <w:rFonts w:ascii="仿宋_GB2312" w:eastAsia="仿宋_GB2312"/>
          <w:b w:val="false"/>
          <w:sz w:val="32"/>
          <w:szCs w:val="32"/>
        </w:rPr>
        <w:t>486.24</w:t>
      </w:r>
      <w:r>
        <w:rPr>
          <w:rFonts w:ascii="仿宋_GB2312" w:eastAsia="仿宋_GB2312"/>
          <w:b w:val="false"/>
          <w:sz w:val="32"/>
          <w:szCs w:val="32"/>
        </w:rPr>
        <w:t>万元，其中：副部（省）级及以上领导用车</w:t>
      </w:r>
      <w:r>
        <w:rPr>
          <w:rFonts w:ascii="仿宋_GB2312" w:eastAsia="仿宋_GB2312"/>
          <w:b w:val="false"/>
          <w:sz w:val="32"/>
          <w:szCs w:val="32"/>
        </w:rPr>
        <w:t>0</w:t>
      </w:r>
      <w:r>
        <w:rPr>
          <w:rFonts w:ascii="仿宋_GB2312" w:eastAsia="仿宋_GB2312"/>
          <w:b w:val="false"/>
          <w:sz w:val="32"/>
          <w:szCs w:val="32"/>
        </w:rPr>
        <w:t>辆、主要负责人用车</w:t>
      </w:r>
      <w:r>
        <w:rPr>
          <w:rFonts w:ascii="仿宋_GB2312" w:eastAsia="仿宋_GB2312"/>
          <w:b w:val="false"/>
          <w:sz w:val="32"/>
          <w:szCs w:val="32"/>
        </w:rPr>
        <w:t>0</w:t>
      </w:r>
      <w:r>
        <w:rPr>
          <w:rFonts w:ascii="仿宋_GB2312" w:eastAsia="仿宋_GB2312"/>
          <w:b w:val="false"/>
          <w:sz w:val="32"/>
          <w:szCs w:val="32"/>
        </w:rPr>
        <w:t>辆、机要通信用车</w:t>
      </w:r>
      <w:r>
        <w:rPr>
          <w:rFonts w:ascii="仿宋_GB2312" w:eastAsia="仿宋_GB2312"/>
          <w:b w:val="false"/>
          <w:sz w:val="32"/>
          <w:szCs w:val="32"/>
        </w:rPr>
        <w:t>0</w:t>
      </w:r>
      <w:r>
        <w:rPr>
          <w:rFonts w:ascii="仿宋_GB2312" w:eastAsia="仿宋_GB2312"/>
          <w:b w:val="false"/>
          <w:sz w:val="32"/>
          <w:szCs w:val="32"/>
        </w:rPr>
        <w:t>辆、应急保障用车</w:t>
      </w:r>
      <w:r>
        <w:rPr>
          <w:rFonts w:ascii="仿宋_GB2312" w:eastAsia="仿宋_GB2312"/>
          <w:b w:val="false"/>
          <w:sz w:val="32"/>
          <w:szCs w:val="32"/>
        </w:rPr>
        <w:t>0</w:t>
      </w:r>
      <w:r>
        <w:rPr>
          <w:rFonts w:ascii="仿宋_GB2312" w:eastAsia="仿宋_GB2312"/>
          <w:b w:val="false"/>
          <w:sz w:val="32"/>
          <w:szCs w:val="32"/>
        </w:rPr>
        <w:t>辆、执法执勤用车</w:t>
      </w:r>
      <w:r>
        <w:rPr>
          <w:rFonts w:ascii="仿宋_GB2312" w:eastAsia="仿宋_GB2312"/>
          <w:b w:val="false"/>
          <w:sz w:val="32"/>
          <w:szCs w:val="32"/>
        </w:rPr>
        <w:t>0</w:t>
      </w:r>
      <w:r>
        <w:rPr>
          <w:rFonts w:ascii="仿宋_GB2312" w:eastAsia="仿宋_GB2312"/>
          <w:b w:val="false"/>
          <w:sz w:val="32"/>
          <w:szCs w:val="32"/>
        </w:rPr>
        <w:t>辆、特种专业技术用车</w:t>
      </w:r>
      <w:r>
        <w:rPr>
          <w:rFonts w:ascii="仿宋_GB2312" w:eastAsia="仿宋_GB2312"/>
          <w:b w:val="false"/>
          <w:sz w:val="32"/>
          <w:szCs w:val="32"/>
        </w:rPr>
        <w:t>0</w:t>
      </w:r>
      <w:r>
        <w:rPr>
          <w:rFonts w:ascii="仿宋_GB2312" w:eastAsia="仿宋_GB2312"/>
          <w:b w:val="false"/>
          <w:sz w:val="32"/>
          <w:szCs w:val="32"/>
        </w:rPr>
        <w:t>辆、离退休干部服务用车</w:t>
      </w:r>
      <w:r>
        <w:rPr>
          <w:rFonts w:ascii="仿宋_GB2312" w:eastAsia="仿宋_GB2312"/>
          <w:b w:val="false"/>
          <w:sz w:val="32"/>
          <w:szCs w:val="32"/>
        </w:rPr>
        <w:t>0</w:t>
      </w:r>
      <w:r>
        <w:rPr>
          <w:rFonts w:ascii="仿宋_GB2312" w:eastAsia="仿宋_GB2312"/>
          <w:b w:val="false"/>
          <w:sz w:val="32"/>
          <w:szCs w:val="32"/>
        </w:rPr>
        <w:t>辆、其他用车</w:t>
      </w:r>
      <w:r>
        <w:rPr>
          <w:rFonts w:ascii="仿宋_GB2312" w:eastAsia="仿宋_GB2312"/>
          <w:b w:val="false"/>
          <w:sz w:val="32"/>
          <w:szCs w:val="32"/>
        </w:rPr>
        <w:t>17</w:t>
      </w:r>
      <w:r>
        <w:rPr>
          <w:rFonts w:ascii="仿宋_GB2312" w:eastAsia="仿宋_GB2312"/>
          <w:b w:val="false"/>
          <w:sz w:val="32"/>
          <w:szCs w:val="32"/>
        </w:rPr>
        <w:t>辆，其他用车主要是：</w:t>
      </w:r>
      <w:r>
        <w:rPr>
          <w:rFonts w:ascii="仿宋_GB2312" w:eastAsia="仿宋_GB2312"/>
          <w:b w:val="false"/>
          <w:sz w:val="32"/>
          <w:szCs w:val="32"/>
        </w:rPr>
        <w:t>公务用车</w:t>
      </w:r>
      <w:r>
        <w:rPr>
          <w:rFonts w:ascii="仿宋_GB2312" w:eastAsia="仿宋_GB2312"/>
          <w:b w:val="false"/>
          <w:sz w:val="32"/>
          <w:szCs w:val="32"/>
        </w:rPr>
        <w:t>;单价100万元（含）以上设备（不含车辆）</w:t>
      </w:r>
      <w:r>
        <w:rPr>
          <w:rFonts w:ascii="仿宋_GB2312" w:eastAsia="仿宋_GB2312"/>
          <w:b w:val="false"/>
          <w:sz w:val="32"/>
          <w:szCs w:val="32"/>
        </w:rPr>
        <w:t>1</w:t>
      </w:r>
      <w:r>
        <w:rPr>
          <w:rFonts w:ascii="仿宋_GB2312" w:eastAsia="仿宋_GB2312"/>
          <w:b w:val="false"/>
          <w:sz w:val="32"/>
          <w:szCs w:val="32"/>
        </w:rPr>
        <w:t>台（套）。</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十一、预算绩效的情况说明</w:t>
      </w:r>
      <w:r>
        <w:rPr>
          <w:rFonts w:ascii="黑体" w:eastAsia="黑体"/>
          <w:b w:val="false"/>
          <w:sz w:val="32"/>
          <w:szCs w:val="32"/>
        </w:rPr>
        <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根据预算绩效管理要求，本</w:t>
      </w:r>
      <w:r>
        <w:rPr>
          <w:rFonts w:ascii="仿宋_GB2312" w:eastAsia="仿宋_GB2312"/>
          <w:b w:val="false"/>
          <w:sz w:val="32"/>
          <w:szCs w:val="32"/>
        </w:rPr>
        <w:t>部门</w:t>
      </w:r>
      <w:r>
        <w:rPr>
          <w:rFonts w:ascii="仿宋_GB2312" w:eastAsia="仿宋_GB2312"/>
          <w:b w:val="false"/>
          <w:sz w:val="32"/>
          <w:szCs w:val="32"/>
        </w:rPr>
        <w:t>2024年度预算绩效管理形成整体支出绩效自评表1个，全年预算总额</w:t>
      </w:r>
      <w:r>
        <w:rPr>
          <w:rFonts w:ascii="仿宋_GB2312" w:eastAsia="仿宋_GB2312"/>
          <w:b w:val="false"/>
          <w:sz w:val="32"/>
          <w:szCs w:val="32"/>
        </w:rPr>
        <w:t>4,808.46</w:t>
      </w:r>
      <w:r>
        <w:rPr>
          <w:rFonts w:ascii="仿宋_GB2312" w:eastAsia="仿宋_GB2312"/>
          <w:b w:val="false"/>
          <w:sz w:val="32"/>
          <w:szCs w:val="32"/>
        </w:rPr>
        <w:t>万元，实际执行总额</w:t>
      </w:r>
      <w:r>
        <w:rPr>
          <w:rFonts w:ascii="仿宋_GB2312" w:eastAsia="仿宋_GB2312"/>
          <w:b w:val="false"/>
          <w:sz w:val="32"/>
          <w:szCs w:val="32"/>
        </w:rPr>
        <w:t>4,680.29</w:t>
      </w:r>
      <w:r>
        <w:rPr>
          <w:rFonts w:ascii="仿宋_GB2312" w:eastAsia="仿宋_GB2312"/>
          <w:b w:val="false"/>
          <w:sz w:val="32"/>
          <w:szCs w:val="32"/>
        </w:rPr>
        <w:t>万元；预算绩效评价项目</w:t>
      </w:r>
      <w:r>
        <w:rPr>
          <w:rFonts w:ascii="仿宋_GB2312" w:eastAsia="仿宋_GB2312"/>
          <w:b w:val="false"/>
          <w:sz w:val="32"/>
          <w:szCs w:val="32"/>
        </w:rPr>
        <w:t>13</w:t>
      </w:r>
      <w:r>
        <w:rPr>
          <w:rFonts w:ascii="仿宋_GB2312" w:eastAsia="仿宋_GB2312"/>
          <w:b w:val="false"/>
          <w:sz w:val="32"/>
          <w:szCs w:val="32"/>
        </w:rPr>
        <w:t>个，全年预算数</w:t>
      </w:r>
      <w:r>
        <w:rPr>
          <w:rFonts w:ascii="仿宋_GB2312" w:eastAsia="仿宋_GB2312"/>
          <w:b w:val="false"/>
          <w:sz w:val="32"/>
          <w:szCs w:val="32"/>
        </w:rPr>
        <w:t>1,124.95</w:t>
      </w:r>
      <w:r>
        <w:rPr>
          <w:rFonts w:ascii="仿宋_GB2312" w:eastAsia="仿宋_GB2312"/>
          <w:b w:val="false"/>
          <w:sz w:val="32"/>
          <w:szCs w:val="32"/>
        </w:rPr>
        <w:t>万元，全年执行数</w:t>
      </w:r>
      <w:r>
        <w:rPr>
          <w:rFonts w:ascii="仿宋_GB2312" w:eastAsia="仿宋_GB2312"/>
          <w:b w:val="false"/>
          <w:sz w:val="32"/>
          <w:szCs w:val="32"/>
        </w:rPr>
        <w:t>962.98</w:t>
      </w:r>
      <w:r>
        <w:rPr>
          <w:rFonts w:ascii="仿宋_GB2312" w:eastAsia="仿宋_GB2312"/>
          <w:b w:val="false"/>
          <w:sz w:val="32"/>
          <w:szCs w:val="32"/>
        </w:rPr>
        <w:t>万元。预算绩效管理取得的成效：</w:t>
      </w:r>
      <w:r>
        <w:rPr>
          <w:rFonts w:ascii="仿宋_GB2312" w:eastAsia="仿宋_GB2312"/>
          <w:b w:val="false"/>
          <w:sz w:val="32"/>
          <w:szCs w:val="32"/>
        </w:rPr>
        <w:t>一是财政资金预算绩效管理达到全覆盖。二是预算绩效管理机制逐步健全。认真贯彻落实全面绩效管理的工作要求，突出绩效导向，促进精准编制预算，把“绩效与预算深度融合”作为根本出发点，强化绩效目标管理，严格执行预算绩效管理制度，强化绩效理念和支出责任，按照“谁支出、谁负责”的原则，对发现的问题及时分析原因并纠正</w:t>
      </w:r>
      <w:r>
        <w:rPr>
          <w:rFonts w:ascii="仿宋_GB2312" w:eastAsia="仿宋_GB2312"/>
          <w:b w:val="false"/>
          <w:sz w:val="32"/>
          <w:szCs w:val="32"/>
        </w:rPr>
        <w:t>。发现的问题及原因：</w:t>
      </w:r>
      <w:r>
        <w:rPr>
          <w:rFonts w:ascii="仿宋_GB2312" w:eastAsia="仿宋_GB2312"/>
          <w:b w:val="false"/>
          <w:sz w:val="32"/>
          <w:szCs w:val="32"/>
        </w:rPr>
        <w:t>一是绩效管理的积极性有待提高，进一步转变思想观念，牢固树立绩效意识，主动承担起绩效管理的主体责任，建立健全绩效管理机制，将绩效管理作为规范和提升管理水平的重要手段和工具，解决好对全面实施预算绩效管理工作重视程度不够、认识不到位、参与不够的问题；二是预算绩效管理的科学化水平需要进一步提升，要把绩效理念和绩效方法深度融入预算管理的方方面面和各个环节，形成突破，发挥绩效管理在“节支增效”方面的重要作用</w:t>
      </w:r>
      <w:r>
        <w:rPr>
          <w:rFonts w:ascii="仿宋_GB2312" w:eastAsia="仿宋_GB2312"/>
          <w:b w:val="false"/>
          <w:sz w:val="32"/>
          <w:szCs w:val="32"/>
        </w:rPr>
        <w:t>。下一步改进措施：</w:t>
      </w:r>
      <w:r>
        <w:rPr>
          <w:rFonts w:ascii="仿宋_GB2312" w:eastAsia="仿宋_GB2312"/>
          <w:b w:val="false"/>
          <w:sz w:val="32"/>
          <w:szCs w:val="32"/>
        </w:rPr>
        <w:t>一是加强组织领导。进一步转变观念，牢固树立“花钱必问效，无效必问责”的预算绩效管理理念，切实提高绩效评价在日常管理中的重要作用，确保财政资金安全、高效使用。二是强化绩效监控。按月对项目支出绩效目标的实现程度和预算执行情况进行“双监控”，发现问题及时纠正，确保项目绩效目标如期保质保量实现</w:t>
      </w:r>
      <w:r>
        <w:rPr>
          <w:rFonts w:ascii="仿宋_GB2312" w:eastAsia="仿宋_GB2312"/>
          <w:b w:val="false"/>
          <w:sz w:val="32"/>
          <w:szCs w:val="32"/>
        </w:rPr>
        <w:t>。具体附部门整体支出绩效自评表，项目支出绩效自评表和部门评价报告。</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十二、其他需说明的事项</w:t>
      </w:r>
      <w:r>
        <w:rPr>
          <w:rFonts w:ascii="黑体" w:eastAsia="黑体"/>
          <w:b w:val="false"/>
          <w:sz w:val="32"/>
          <w:szCs w:val="32"/>
        </w:rPr>
        <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本</w:t>
      </w:r>
      <w:r>
        <w:rPr>
          <w:rFonts w:ascii="仿宋_GB2312" w:eastAsia="仿宋_GB2312"/>
          <w:b w:val="false"/>
          <w:sz w:val="32"/>
          <w:szCs w:val="32"/>
        </w:rPr>
        <w:t>部门</w:t>
      </w:r>
      <w:r>
        <w:rPr>
          <w:rFonts w:ascii="仿宋_GB2312" w:eastAsia="仿宋_GB2312"/>
          <w:b w:val="false"/>
          <w:sz w:val="32"/>
          <w:szCs w:val="32"/>
        </w:rPr>
        <w:t>无其他需说明事项。</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p>
    <w:p>
      <w:pPr>
        <w:widowControl w:val="true"/>
        <w:rPr/>
      </w:pPr>
      <w:r>
        <w:rPr>
          <w:rFonts/>
          <w:b w:val="false"/>
          <w:sz w:val="0"/>
          <w:szCs w:val="0"/>
        </w:rPr>
        <w:br w:type="page"/>
      </w:r>
    </w:p>
    <w:p>
      <w:pPr>
        <w:widowControl w:val="true"/>
        <w:spacing w:before="0" w:beforeLines="0" w:beforeAutospacing="false" w:after="0" w:afterLines="0" w:afterAutospacing="false" w:line="240" w:lineRule="auto"/>
        <w:ind/>
        <w:jc w:val="center"/>
        <w:outlineLvl w:val="0"/>
        <w:rPr>
          <w:rFonts w:ascii="黑体" w:eastAsia="黑体"/>
          <w:sz w:val="32"/>
          <w:szCs w:val="32"/>
        </w:rPr>
      </w:pPr>
      <w:r>
        <w:rPr>
          <w:rFonts w:ascii="黑体" w:eastAsia="黑体"/>
          <w:b w:val="false"/>
          <w:sz w:val="32"/>
          <w:szCs w:val="32"/>
        </w:rPr>
        <w:t>第三部分 专业名词解释</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一、财政拨款收入：</w:t>
      </w:r>
      <w:r>
        <w:rPr>
          <w:rFonts w:ascii="仿宋_GB2312" w:eastAsia="仿宋_GB2312"/>
          <w:b w:val="false"/>
          <w:sz w:val="32"/>
          <w:szCs w:val="32"/>
        </w:rPr>
        <w:t>指同级财政当年拨付的资金。</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二、上级补助收入：</w:t>
      </w:r>
      <w:r>
        <w:rPr>
          <w:rFonts w:ascii="仿宋_GB2312" w:eastAsia="仿宋_GB2312"/>
          <w:b w:val="false"/>
          <w:sz w:val="32"/>
          <w:szCs w:val="32"/>
        </w:rPr>
        <w:t>指事业单位从主管部门和上级单位取得的非财政补助收入。</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三、事业收入：</w:t>
      </w:r>
      <w:r>
        <w:rPr>
          <w:rFonts w:ascii="仿宋_GB2312" w:eastAsia="仿宋_GB2312"/>
          <w:b w:val="false"/>
          <w:sz w:val="32"/>
          <w:szCs w:val="32"/>
        </w:rPr>
        <w:t>指事业单位开展专业业务活动及其辅助活动所取得的收入。</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四、经营收入：</w:t>
      </w:r>
      <w:r>
        <w:rPr>
          <w:rFonts w:ascii="仿宋_GB2312" w:eastAsia="仿宋_GB2312"/>
          <w:b w:val="false"/>
          <w:sz w:val="32"/>
          <w:szCs w:val="32"/>
        </w:rPr>
        <w:t>指事业单位在专业业务活动及其辅助活动之外开展非独立核算经营活动取得的收入。</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五、附属单位上缴收入：</w:t>
      </w:r>
      <w:r>
        <w:rPr>
          <w:rFonts w:ascii="仿宋_GB2312" w:eastAsia="仿宋_GB2312"/>
          <w:b w:val="false"/>
          <w:sz w:val="32"/>
          <w:szCs w:val="32"/>
        </w:rPr>
        <w:t>指事业单位附属的独立核算单位按有关规定上缴的收入。</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六、其他收入：</w:t>
      </w:r>
      <w:r>
        <w:rPr>
          <w:rFonts w:ascii="仿宋_GB2312" w:eastAsia="仿宋_GB2312"/>
          <w:b w:val="false"/>
          <w:sz w:val="32"/>
          <w:szCs w:val="32"/>
        </w:rPr>
        <w:t>指除上述“财政拨款收入”、“事业收入”、“经营收入”、“附属单位上缴收入”等之外取得的收入。</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七、年初结转和结余：</w:t>
      </w:r>
      <w:r>
        <w:rPr>
          <w:rFonts w:ascii="仿宋_GB2312" w:eastAsia="仿宋_GB2312"/>
          <w:b w:val="false"/>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八、年末结转和结余：</w:t>
      </w:r>
      <w:r>
        <w:rPr>
          <w:rFonts w:ascii="仿宋_GB2312" w:eastAsia="仿宋_GB2312"/>
          <w:b w:val="false"/>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九、基本支出：</w:t>
      </w:r>
      <w:r>
        <w:rPr>
          <w:rFonts w:ascii="仿宋_GB2312" w:eastAsia="仿宋_GB2312"/>
          <w:b w:val="false"/>
          <w:sz w:val="32"/>
          <w:szCs w:val="32"/>
        </w:rPr>
        <w:t>指为保障机构正常运转、完成日常工作任务而发生的人员支出和公用支出。</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十、项目支出：</w:t>
      </w:r>
      <w:r>
        <w:rPr>
          <w:rFonts w:ascii="仿宋_GB2312" w:eastAsia="仿宋_GB2312"/>
          <w:b w:val="false"/>
          <w:sz w:val="32"/>
          <w:szCs w:val="32"/>
        </w:rPr>
        <w:t>指在基本支出之外为完成特定行政任务和事业发展目标所发生的支出。</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十一、经营支出：</w:t>
      </w:r>
      <w:r>
        <w:rPr>
          <w:rFonts w:ascii="仿宋_GB2312" w:eastAsia="仿宋_GB2312"/>
          <w:b w:val="false"/>
          <w:sz w:val="32"/>
          <w:szCs w:val="32"/>
        </w:rPr>
        <w:t>指事业单位在专业业务活动及其辅助活动之外开展非独立核算经营活动发生的支出。</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十二、对附属单位补助支出：</w:t>
      </w:r>
      <w:r>
        <w:rPr>
          <w:rFonts w:ascii="仿宋_GB2312" w:eastAsia="仿宋_GB2312"/>
          <w:b w:val="false"/>
          <w:sz w:val="32"/>
          <w:szCs w:val="32"/>
        </w:rPr>
        <w:t>指事业单位发生的用非财政预算资金对附属单位的补助支出。</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十三、“三公”经费：</w:t>
      </w:r>
      <w:r>
        <w:rPr>
          <w:rFonts w:ascii="仿宋_GB2312" w:eastAsia="仿宋_GB2312"/>
          <w:b w:val="false"/>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十四、机关运行经费：</w:t>
      </w:r>
      <w:r>
        <w:rPr>
          <w:rFonts w:ascii="仿宋_GB2312" w:eastAsia="仿宋_GB2312"/>
          <w:b w:val="false"/>
          <w:sz w:val="32"/>
          <w:szCs w:val="32"/>
        </w:rPr>
        <w:t>行政单位和参照公务员法管理的事业单位财政拨款基本支出中的公用经费支出。</w:t>
      </w:r>
    </w:p>
    <w:p>
      <w:pPr>
        <w:widowControl w:val="true"/>
        <w:rPr/>
      </w:pPr>
      <w:r>
        <w:rPr>
          <w:rFonts/>
          <w:b w:val="false"/>
          <w:sz w:val="0"/>
          <w:szCs w:val="0"/>
        </w:rPr>
        <w:br w:type="page"/>
      </w:r>
    </w:p>
    <w:p>
      <w:pPr>
        <w:widowControl w:val="true"/>
        <w:spacing w:before="0" w:beforeLines="0" w:beforeAutospacing="false" w:after="0" w:afterLines="0" w:afterAutospacing="false" w:line="240" w:lineRule="auto"/>
        <w:ind/>
        <w:jc w:val="center"/>
        <w:outlineLvl w:val="0"/>
        <w:rPr>
          <w:rFonts w:ascii="黑体" w:eastAsia="黑体"/>
          <w:sz w:val="32"/>
          <w:szCs w:val="32"/>
        </w:rPr>
      </w:pPr>
      <w:r>
        <w:rPr>
          <w:rFonts w:ascii="黑体" w:eastAsia="黑体"/>
          <w:b w:val="false"/>
          <w:sz w:val="32"/>
          <w:szCs w:val="32"/>
        </w:rPr>
        <w:t>第四部分 部门决算报表（见附表）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一、《收入支出决算总表》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二、《收入决算表》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三、《支出决算表》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四、《财政拨款收入支出决算总表》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五、《一般公共预算财政拨款支出决算表》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六、《一般公共预算财政拨款基本支出决算表》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七、《政府性基金预算财政拨款收入支出决算表》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八、《国有资本经营预算财政拨款收入支出决算表》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九、《财政拨款“三公”经费支出决算表》</w:t>
      </w:r>
    </w:p>
    <w:sectPr>
      <w:pgSz w:w="12240" w:h="15840"/>
      <w:pgMar w:top="1440" w:right="1800" w:bottom="1440" w:left="1800" w:header="720" w:footer="720" w:gutter="0"/>
    </w:sectPr>
  </w:body>
</w:document>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